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D6" w:rsidRDefault="005F57D6" w:rsidP="005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реализации </w:t>
      </w:r>
    </w:p>
    <w:p w:rsidR="005F57D6" w:rsidRPr="00413007" w:rsidRDefault="005F57D6" w:rsidP="005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35FB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период до 20</w:t>
      </w:r>
      <w:r w:rsidR="00B35FBD">
        <w:rPr>
          <w:rFonts w:ascii="Times New Roman" w:hAnsi="Times New Roman" w:cs="Times New Roman"/>
          <w:sz w:val="28"/>
          <w:szCs w:val="28"/>
        </w:rPr>
        <w:t>23</w:t>
      </w:r>
      <w:r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за 201</w:t>
      </w:r>
      <w:r w:rsidR="00B35F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57D6" w:rsidRDefault="005F57D6" w:rsidP="005F57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C024E4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4E4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672C50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C024E4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Минераловодского городского округа Ставропольского края от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4E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024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024E4">
        <w:rPr>
          <w:rFonts w:ascii="Times New Roman" w:hAnsi="Times New Roman" w:cs="Times New Roman"/>
          <w:sz w:val="28"/>
          <w:szCs w:val="28"/>
        </w:rPr>
        <w:t>2564</w:t>
      </w:r>
      <w:r w:rsidR="00672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72C50">
        <w:rPr>
          <w:rFonts w:ascii="Times New Roman" w:hAnsi="Times New Roman" w:cs="Times New Roman"/>
          <w:sz w:val="28"/>
          <w:szCs w:val="28"/>
        </w:rPr>
        <w:t>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5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бюджетного прогноза</w:t>
      </w:r>
      <w:r w:rsidR="00672C5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672C5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65BD">
        <w:rPr>
          <w:rFonts w:ascii="Times New Roman" w:hAnsi="Times New Roman" w:cs="Times New Roman"/>
          <w:sz w:val="28"/>
          <w:szCs w:val="28"/>
        </w:rPr>
        <w:t>за 2019 год</w:t>
      </w:r>
      <w:r>
        <w:rPr>
          <w:rFonts w:ascii="Times New Roman" w:hAnsi="Times New Roman" w:cs="Times New Roman"/>
          <w:sz w:val="28"/>
          <w:szCs w:val="28"/>
        </w:rPr>
        <w:t xml:space="preserve"> на основе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4765B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7D6" w:rsidRPr="007E4BFC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5F57D6" w:rsidRPr="00750E84" w:rsidRDefault="005F57D6" w:rsidP="005F5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показателей Бюджетного прогноза </w:t>
      </w:r>
      <w:r w:rsidRPr="00750E84">
        <w:rPr>
          <w:rFonts w:ascii="Times New Roman" w:hAnsi="Times New Roman" w:cs="Times New Roman"/>
          <w:sz w:val="28"/>
          <w:szCs w:val="28"/>
        </w:rPr>
        <w:t>в 201</w:t>
      </w:r>
      <w:r w:rsidR="004765BD">
        <w:rPr>
          <w:rFonts w:ascii="Times New Roman" w:hAnsi="Times New Roman" w:cs="Times New Roman"/>
          <w:sz w:val="28"/>
          <w:szCs w:val="28"/>
        </w:rPr>
        <w:t>9</w:t>
      </w:r>
      <w:r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F57D6" w:rsidRPr="00180B10" w:rsidRDefault="005F57D6" w:rsidP="005F57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4765BD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</w:t>
      </w:r>
      <w:r w:rsidR="004765BD">
        <w:rPr>
          <w:rFonts w:ascii="Times New Roman" w:hAnsi="Times New Roman" w:cs="Times New Roman"/>
          <w:sz w:val="28"/>
          <w:szCs w:val="28"/>
        </w:rPr>
        <w:t>.</w:t>
      </w:r>
      <w:r w:rsidRPr="00180B1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74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3233"/>
        <w:gridCol w:w="1667"/>
        <w:gridCol w:w="1523"/>
        <w:gridCol w:w="1495"/>
        <w:gridCol w:w="1082"/>
      </w:tblGrid>
      <w:tr w:rsidR="00C92784" w:rsidRPr="003172DB" w:rsidTr="001C0DCD">
        <w:trPr>
          <w:trHeight w:val="654"/>
          <w:jc w:val="center"/>
        </w:trPr>
        <w:tc>
          <w:tcPr>
            <w:tcW w:w="754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3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69" w:type="dxa"/>
            <w:vAlign w:val="center"/>
          </w:tcPr>
          <w:p w:rsidR="00C92784" w:rsidRPr="00E42770" w:rsidRDefault="00C92784" w:rsidP="00CF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прогноз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>(в редакции от 14.02.2019)</w:t>
            </w:r>
          </w:p>
        </w:tc>
        <w:tc>
          <w:tcPr>
            <w:tcW w:w="1523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>об исполнении бюджета</w:t>
            </w:r>
          </w:p>
        </w:tc>
        <w:tc>
          <w:tcPr>
            <w:tcW w:w="1475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085" w:type="dxa"/>
            <w:vAlign w:val="center"/>
          </w:tcPr>
          <w:p w:rsidR="00C92784" w:rsidRPr="00E42770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84" w:rsidRPr="00E42770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C92784" w:rsidRPr="003172DB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5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4E0" w:rsidRPr="003172DB" w:rsidTr="001C0DCD">
        <w:trPr>
          <w:jc w:val="center"/>
        </w:trPr>
        <w:tc>
          <w:tcPr>
            <w:tcW w:w="9749" w:type="dxa"/>
            <w:gridSpan w:val="6"/>
          </w:tcPr>
          <w:p w:rsidR="000E34E0" w:rsidRPr="001C0DCD" w:rsidRDefault="000E34E0" w:rsidP="00CF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бюджета Минераловодского городского округа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2659298,55</w:t>
            </w:r>
          </w:p>
        </w:tc>
        <w:tc>
          <w:tcPr>
            <w:tcW w:w="1523" w:type="dxa"/>
            <w:vAlign w:val="center"/>
          </w:tcPr>
          <w:p w:rsidR="00C92784" w:rsidRPr="001C0DCD" w:rsidRDefault="00C92784" w:rsidP="00B875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2983817,76</w:t>
            </w:r>
          </w:p>
        </w:tc>
        <w:tc>
          <w:tcPr>
            <w:tcW w:w="1475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324519,21</w:t>
            </w:r>
          </w:p>
        </w:tc>
        <w:tc>
          <w:tcPr>
            <w:tcW w:w="1085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  <w:tcBorders>
              <w:right w:val="nil"/>
            </w:tcBorders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0" w:type="dxa"/>
            <w:gridSpan w:val="4"/>
            <w:tcBorders>
              <w:left w:val="nil"/>
            </w:tcBorders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85" w:type="dxa"/>
            <w:tcBorders>
              <w:left w:val="nil"/>
            </w:tcBorders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828939,17</w:t>
            </w:r>
          </w:p>
        </w:tc>
        <w:tc>
          <w:tcPr>
            <w:tcW w:w="1523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860168,91</w:t>
            </w:r>
          </w:p>
        </w:tc>
        <w:tc>
          <w:tcPr>
            <w:tcW w:w="1475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31229,74</w:t>
            </w:r>
          </w:p>
        </w:tc>
        <w:tc>
          <w:tcPr>
            <w:tcW w:w="1085" w:type="dxa"/>
            <w:vAlign w:val="center"/>
          </w:tcPr>
          <w:p w:rsidR="00C92784" w:rsidRPr="001C0DCD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1830359,38</w:t>
            </w:r>
          </w:p>
        </w:tc>
        <w:tc>
          <w:tcPr>
            <w:tcW w:w="1523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2123648,85</w:t>
            </w:r>
          </w:p>
        </w:tc>
        <w:tc>
          <w:tcPr>
            <w:tcW w:w="1475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293289,47</w:t>
            </w:r>
          </w:p>
        </w:tc>
        <w:tc>
          <w:tcPr>
            <w:tcW w:w="1085" w:type="dxa"/>
          </w:tcPr>
          <w:p w:rsidR="00C92784" w:rsidRPr="001C0DCD" w:rsidRDefault="00C92784" w:rsidP="009C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458D" w:rsidRPr="001C0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58D" w:rsidRPr="001C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2659298,55</w:t>
            </w:r>
          </w:p>
        </w:tc>
        <w:tc>
          <w:tcPr>
            <w:tcW w:w="1523" w:type="dxa"/>
            <w:vAlign w:val="center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3173161,81</w:t>
            </w:r>
          </w:p>
        </w:tc>
        <w:tc>
          <w:tcPr>
            <w:tcW w:w="1475" w:type="dxa"/>
            <w:vAlign w:val="center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513863,26</w:t>
            </w:r>
          </w:p>
        </w:tc>
        <w:tc>
          <w:tcPr>
            <w:tcW w:w="1085" w:type="dxa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119,32</w:t>
            </w: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 xml:space="preserve">Дефицит/профицит 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3" w:type="dxa"/>
            <w:vAlign w:val="center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-189344,05</w:t>
            </w:r>
          </w:p>
        </w:tc>
        <w:tc>
          <w:tcPr>
            <w:tcW w:w="1475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85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84" w:rsidRPr="003172DB" w:rsidTr="001C0DCD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3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154732,48</w:t>
            </w:r>
          </w:p>
        </w:tc>
        <w:tc>
          <w:tcPr>
            <w:tcW w:w="1523" w:type="dxa"/>
            <w:vAlign w:val="center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166000,00</w:t>
            </w:r>
          </w:p>
        </w:tc>
        <w:tc>
          <w:tcPr>
            <w:tcW w:w="1475" w:type="dxa"/>
            <w:vAlign w:val="center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11267,52</w:t>
            </w:r>
          </w:p>
        </w:tc>
        <w:tc>
          <w:tcPr>
            <w:tcW w:w="1085" w:type="dxa"/>
          </w:tcPr>
          <w:p w:rsidR="00C92784" w:rsidRPr="001C0DCD" w:rsidRDefault="00274CA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107,28</w:t>
            </w:r>
          </w:p>
        </w:tc>
      </w:tr>
      <w:tr w:rsidR="000E34E0" w:rsidRPr="003172DB" w:rsidTr="001C0DCD">
        <w:trPr>
          <w:jc w:val="center"/>
        </w:trPr>
        <w:tc>
          <w:tcPr>
            <w:tcW w:w="9749" w:type="dxa"/>
            <w:gridSpan w:val="6"/>
          </w:tcPr>
          <w:p w:rsidR="000E34E0" w:rsidRPr="001C0DCD" w:rsidRDefault="000E34E0" w:rsidP="00E24E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Показатели предельных объемов расходов бюджета Минераловодского городского округа на реализацию муниципальных программ на период их действия</w:t>
            </w:r>
          </w:p>
        </w:tc>
      </w:tr>
      <w:tr w:rsidR="00C92784" w:rsidRPr="003172DB" w:rsidTr="00443A03">
        <w:trPr>
          <w:jc w:val="center"/>
        </w:trPr>
        <w:tc>
          <w:tcPr>
            <w:tcW w:w="754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C92784" w:rsidRPr="001C0DCD" w:rsidRDefault="00C92784" w:rsidP="00CF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Расходы в рамках муниципальных программ Минераловодского городского округа, всего</w:t>
            </w:r>
          </w:p>
        </w:tc>
        <w:tc>
          <w:tcPr>
            <w:tcW w:w="1669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2659298,55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92784" w:rsidRPr="001C0DCD" w:rsidRDefault="00443A03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3082927,13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92784" w:rsidRPr="001C0DCD" w:rsidRDefault="00443A03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423628,58</w:t>
            </w:r>
          </w:p>
        </w:tc>
        <w:tc>
          <w:tcPr>
            <w:tcW w:w="1085" w:type="dxa"/>
            <w:vAlign w:val="center"/>
          </w:tcPr>
          <w:p w:rsidR="00C92784" w:rsidRPr="001C0DCD" w:rsidRDefault="00443A03" w:rsidP="00443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115,93</w:t>
            </w:r>
          </w:p>
        </w:tc>
      </w:tr>
    </w:tbl>
    <w:p w:rsidR="005F57D6" w:rsidRPr="00E21C41" w:rsidRDefault="005F57D6" w:rsidP="005F57D6">
      <w:pPr>
        <w:tabs>
          <w:tab w:val="left" w:pos="709"/>
        </w:tabs>
        <w:jc w:val="both"/>
        <w:rPr>
          <w:sz w:val="28"/>
          <w:szCs w:val="28"/>
        </w:rPr>
      </w:pPr>
    </w:p>
    <w:p w:rsidR="00FE6F07" w:rsidRDefault="009563A3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отчетности 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9 </w:t>
      </w:r>
      <w:r w:rsidRPr="00930CDC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поступивших 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92784">
        <w:rPr>
          <w:rFonts w:ascii="Times New Roman" w:hAnsi="Times New Roman" w:cs="Times New Roman"/>
          <w:sz w:val="28"/>
          <w:szCs w:val="28"/>
        </w:rPr>
        <w:t>б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C9278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29</w:t>
      </w:r>
      <w:r w:rsidR="00C92784">
        <w:rPr>
          <w:rFonts w:ascii="Times New Roman" w:hAnsi="Times New Roman" w:cs="Times New Roman"/>
          <w:sz w:val="28"/>
          <w:szCs w:val="28"/>
        </w:rPr>
        <w:t>83817,76</w:t>
      </w:r>
      <w:r w:rsidR="005F57D6" w:rsidRPr="005B720C">
        <w:rPr>
          <w:rFonts w:ascii="Times New Roman" w:hAnsi="Times New Roman" w:cs="Times New Roman"/>
          <w:sz w:val="28"/>
          <w:szCs w:val="28"/>
        </w:rPr>
        <w:t> </w:t>
      </w:r>
      <w:r w:rsidR="00C92784">
        <w:rPr>
          <w:rFonts w:ascii="Times New Roman" w:hAnsi="Times New Roman" w:cs="Times New Roman"/>
          <w:sz w:val="28"/>
          <w:szCs w:val="28"/>
        </w:rPr>
        <w:t xml:space="preserve">тыс. 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что выше</w:t>
      </w:r>
      <w:r w:rsidR="005F57D6">
        <w:rPr>
          <w:rFonts w:ascii="Times New Roman" w:hAnsi="Times New Roman" w:cs="Times New Roman"/>
          <w:sz w:val="28"/>
          <w:szCs w:val="28"/>
        </w:rPr>
        <w:t xml:space="preserve"> на</w:t>
      </w:r>
      <w:r w:rsidR="00FE6F07">
        <w:rPr>
          <w:rFonts w:ascii="Times New Roman" w:hAnsi="Times New Roman" w:cs="Times New Roman"/>
          <w:sz w:val="28"/>
          <w:szCs w:val="28"/>
        </w:rPr>
        <w:t xml:space="preserve"> 12,2% или</w:t>
      </w:r>
      <w:r w:rsidR="005F57D6">
        <w:rPr>
          <w:rFonts w:ascii="Times New Roman" w:hAnsi="Times New Roman" w:cs="Times New Roman"/>
          <w:sz w:val="28"/>
          <w:szCs w:val="28"/>
        </w:rPr>
        <w:t xml:space="preserve"> </w:t>
      </w:r>
      <w:r w:rsidR="00C92784">
        <w:rPr>
          <w:rFonts w:ascii="Times New Roman" w:hAnsi="Times New Roman" w:cs="Times New Roman"/>
          <w:sz w:val="28"/>
          <w:szCs w:val="28"/>
        </w:rPr>
        <w:t>324519,21</w:t>
      </w:r>
      <w:r w:rsidR="005F57D6">
        <w:rPr>
          <w:rFonts w:ascii="Times New Roman" w:hAnsi="Times New Roman" w:cs="Times New Roman"/>
          <w:sz w:val="28"/>
          <w:szCs w:val="28"/>
        </w:rPr>
        <w:t xml:space="preserve"> </w:t>
      </w:r>
      <w:r w:rsidR="00C92784">
        <w:rPr>
          <w:rFonts w:ascii="Times New Roman" w:hAnsi="Times New Roman" w:cs="Times New Roman"/>
          <w:sz w:val="28"/>
          <w:szCs w:val="28"/>
        </w:rPr>
        <w:t>тыс.</w:t>
      </w:r>
      <w:r w:rsidR="005F57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 </w:t>
      </w:r>
      <w:r w:rsidR="005F57D6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7D6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  <w:r w:rsidR="00FE6F07">
        <w:rPr>
          <w:rFonts w:ascii="Times New Roman" w:hAnsi="Times New Roman" w:cs="Times New Roman"/>
          <w:sz w:val="28"/>
          <w:szCs w:val="28"/>
        </w:rPr>
        <w:t>местного</w:t>
      </w:r>
      <w:r w:rsidR="005F57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6F07">
        <w:rPr>
          <w:rFonts w:ascii="Times New Roman" w:hAnsi="Times New Roman" w:cs="Times New Roman"/>
          <w:sz w:val="28"/>
          <w:szCs w:val="28"/>
        </w:rPr>
        <w:t>.</w:t>
      </w:r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="00FE6F07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в сравнении с прогнозными показателями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34C6" w:rsidRDefault="005F57D6" w:rsidP="001F34C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ростом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FE6F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на</w:t>
      </w:r>
      <w:r w:rsidR="00FE6F07">
        <w:rPr>
          <w:rFonts w:ascii="Times New Roman" w:hAnsi="Times New Roman" w:cs="Times New Roman"/>
          <w:sz w:val="28"/>
          <w:szCs w:val="28"/>
        </w:rPr>
        <w:t xml:space="preserve"> 3,8%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07">
        <w:rPr>
          <w:rFonts w:ascii="Times New Roman" w:hAnsi="Times New Roman" w:cs="Times New Roman"/>
          <w:sz w:val="28"/>
          <w:szCs w:val="28"/>
        </w:rPr>
        <w:t>31229,74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6F0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прогнозным</w:t>
      </w:r>
      <w:r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Pr="005872F0">
        <w:rPr>
          <w:rFonts w:ascii="Times New Roman" w:hAnsi="Times New Roman" w:cs="Times New Roman"/>
          <w:sz w:val="28"/>
          <w:szCs w:val="28"/>
        </w:rPr>
        <w:t xml:space="preserve"> </w:t>
      </w:r>
      <w:r w:rsidRPr="00C02CC9">
        <w:rPr>
          <w:rFonts w:ascii="Times New Roman" w:hAnsi="Times New Roman"/>
          <w:spacing w:val="-4"/>
          <w:sz w:val="28"/>
          <w:szCs w:val="28"/>
        </w:rPr>
        <w:t>рост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 фонда оплаты труда</w:t>
      </w:r>
      <w:r w:rsidR="004425D5">
        <w:rPr>
          <w:rFonts w:ascii="Times New Roman" w:hAnsi="Times New Roman"/>
          <w:spacing w:val="-4"/>
          <w:sz w:val="28"/>
          <w:szCs w:val="28"/>
        </w:rPr>
        <w:t xml:space="preserve">;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34C6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FE6F07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30CDC">
        <w:rPr>
          <w:rFonts w:ascii="Times New Roman" w:hAnsi="Times New Roman" w:cs="Times New Roman"/>
          <w:sz w:val="28"/>
          <w:szCs w:val="28"/>
        </w:rPr>
        <w:t>дополнительных поступлений в результате</w:t>
      </w:r>
      <w:r w:rsidR="00116DA4">
        <w:rPr>
          <w:rFonts w:ascii="Times New Roman" w:hAnsi="Times New Roman" w:cs="Times New Roman"/>
          <w:sz w:val="28"/>
          <w:szCs w:val="28"/>
        </w:rPr>
        <w:t xml:space="preserve"> проведения аукционов по продаже объектов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34C6" w:rsidRPr="001F34C6">
        <w:rPr>
          <w:rFonts w:ascii="Times New Roman" w:hAnsi="Times New Roman" w:cs="Times New Roman"/>
          <w:sz w:val="28"/>
          <w:szCs w:val="28"/>
        </w:rPr>
        <w:t xml:space="preserve"> </w:t>
      </w:r>
      <w:r w:rsidR="001F34C6" w:rsidRPr="00EC0AFE">
        <w:rPr>
          <w:rFonts w:ascii="Times New Roman" w:hAnsi="Times New Roman" w:cs="Times New Roman"/>
          <w:sz w:val="28"/>
          <w:szCs w:val="28"/>
        </w:rPr>
        <w:t>дополнительных мер, направленных на повышение поступлени</w:t>
      </w:r>
      <w:r w:rsidR="001F34C6">
        <w:rPr>
          <w:rFonts w:ascii="Times New Roman" w:hAnsi="Times New Roman" w:cs="Times New Roman"/>
          <w:sz w:val="28"/>
          <w:szCs w:val="28"/>
        </w:rPr>
        <w:t>я</w:t>
      </w:r>
      <w:r w:rsidR="001F34C6" w:rsidRPr="00EC0AFE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</w:t>
      </w:r>
      <w:r w:rsidR="001F34C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F34C6" w:rsidRPr="00EC0AFE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1F34C6">
        <w:rPr>
          <w:rFonts w:ascii="Times New Roman" w:hAnsi="Times New Roman" w:cs="Times New Roman"/>
          <w:sz w:val="28"/>
          <w:szCs w:val="28"/>
        </w:rPr>
        <w:t>ной</w:t>
      </w:r>
      <w:r w:rsidR="001F34C6" w:rsidRPr="00EC0A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34C6">
        <w:rPr>
          <w:rFonts w:ascii="Times New Roman" w:hAnsi="Times New Roman" w:cs="Times New Roman"/>
          <w:sz w:val="28"/>
          <w:szCs w:val="28"/>
        </w:rPr>
        <w:t>ой</w:t>
      </w:r>
      <w:r w:rsidR="001F34C6" w:rsidRPr="00EC0AFE">
        <w:rPr>
          <w:rFonts w:ascii="Times New Roman" w:hAnsi="Times New Roman" w:cs="Times New Roman"/>
          <w:sz w:val="28"/>
          <w:szCs w:val="28"/>
        </w:rPr>
        <w:t xml:space="preserve"> оздоровления муниципальных финансов Минераловодского городского округа на 2018-2021 годы</w:t>
      </w:r>
      <w:r w:rsidR="001F34C6">
        <w:rPr>
          <w:rFonts w:ascii="Times New Roman" w:hAnsi="Times New Roman" w:cs="Times New Roman"/>
          <w:sz w:val="28"/>
          <w:szCs w:val="28"/>
        </w:rPr>
        <w:t>;</w:t>
      </w:r>
    </w:p>
    <w:p w:rsidR="005F57D6" w:rsidRPr="009563A3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9563A3">
        <w:rPr>
          <w:rFonts w:ascii="Times New Roman" w:hAnsi="Times New Roman" w:cs="Times New Roman"/>
          <w:sz w:val="28"/>
          <w:szCs w:val="28"/>
        </w:rPr>
        <w:t xml:space="preserve">увеличением объема безвозмездных поступлений </w:t>
      </w:r>
      <w:r w:rsidR="001F34C6" w:rsidRPr="009563A3">
        <w:rPr>
          <w:rFonts w:ascii="Times New Roman" w:hAnsi="Times New Roman" w:cs="Times New Roman"/>
          <w:sz w:val="28"/>
          <w:szCs w:val="28"/>
        </w:rPr>
        <w:t>от</w:t>
      </w:r>
      <w:r w:rsidRPr="009563A3">
        <w:rPr>
          <w:rFonts w:ascii="Times New Roman" w:hAnsi="Times New Roman" w:cs="Times New Roman"/>
          <w:sz w:val="28"/>
          <w:szCs w:val="28"/>
        </w:rPr>
        <w:t xml:space="preserve"> </w:t>
      </w:r>
      <w:r w:rsidR="001F34C6" w:rsidRPr="009563A3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Pr="009563A3">
        <w:rPr>
          <w:rFonts w:ascii="Times New Roman" w:hAnsi="Times New Roman" w:cs="Times New Roman"/>
          <w:sz w:val="28"/>
          <w:szCs w:val="28"/>
        </w:rPr>
        <w:t xml:space="preserve"> на </w:t>
      </w:r>
      <w:r w:rsidR="001F34C6" w:rsidRPr="009563A3">
        <w:rPr>
          <w:rFonts w:ascii="Times New Roman" w:hAnsi="Times New Roman" w:cs="Times New Roman"/>
          <w:sz w:val="28"/>
          <w:szCs w:val="28"/>
        </w:rPr>
        <w:t>293289,47</w:t>
      </w:r>
      <w:r w:rsidRPr="009563A3">
        <w:rPr>
          <w:rFonts w:ascii="Times New Roman" w:hAnsi="Times New Roman" w:cs="Times New Roman"/>
          <w:sz w:val="28"/>
          <w:szCs w:val="28"/>
        </w:rPr>
        <w:t xml:space="preserve"> </w:t>
      </w:r>
      <w:r w:rsidR="001F34C6" w:rsidRPr="009563A3">
        <w:rPr>
          <w:rFonts w:ascii="Times New Roman" w:hAnsi="Times New Roman" w:cs="Times New Roman"/>
          <w:sz w:val="28"/>
          <w:szCs w:val="28"/>
        </w:rPr>
        <w:t>тыс.</w:t>
      </w:r>
      <w:r w:rsidRPr="009563A3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показателям, в том числе дотации на поддержку мер по обеспечению сбалансированности бюджетов</w:t>
      </w:r>
      <w:r w:rsidR="00C95417" w:rsidRPr="009563A3">
        <w:rPr>
          <w:rFonts w:ascii="Times New Roman" w:hAnsi="Times New Roman" w:cs="Times New Roman"/>
          <w:sz w:val="28"/>
          <w:szCs w:val="28"/>
        </w:rPr>
        <w:t>,</w:t>
      </w:r>
      <w:r w:rsidRPr="009563A3">
        <w:rPr>
          <w:rFonts w:ascii="Times New Roman" w:hAnsi="Times New Roman" w:cs="Times New Roman"/>
          <w:sz w:val="28"/>
          <w:szCs w:val="28"/>
        </w:rPr>
        <w:t xml:space="preserve"> субсидий на реализацию целевых программ формирования современной городской среды</w:t>
      </w:r>
      <w:r w:rsidR="00C95417" w:rsidRPr="009563A3">
        <w:rPr>
          <w:rFonts w:ascii="Times New Roman" w:hAnsi="Times New Roman" w:cs="Times New Roman"/>
          <w:sz w:val="28"/>
          <w:szCs w:val="28"/>
        </w:rPr>
        <w:t>, на поддержку отрасли культуры, на осуществление дорожной деятельности, капитального ремонта дворовых территорий</w:t>
      </w:r>
      <w:r w:rsidR="000E34E0" w:rsidRPr="009563A3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866331" w:rsidRPr="009563A3">
        <w:rPr>
          <w:rFonts w:ascii="Times New Roman" w:hAnsi="Times New Roman" w:cs="Times New Roman"/>
          <w:sz w:val="28"/>
          <w:szCs w:val="28"/>
        </w:rPr>
        <w:t xml:space="preserve"> и проездов к ним</w:t>
      </w:r>
      <w:r w:rsidRPr="009563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86633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30CDC">
        <w:rPr>
          <w:rFonts w:ascii="Times New Roman" w:hAnsi="Times New Roman" w:cs="Times New Roman"/>
          <w:sz w:val="28"/>
          <w:szCs w:val="28"/>
        </w:rPr>
        <w:t xml:space="preserve"> в 201</w:t>
      </w:r>
      <w:r w:rsidR="00866331">
        <w:rPr>
          <w:rFonts w:ascii="Times New Roman" w:hAnsi="Times New Roman" w:cs="Times New Roman"/>
          <w:sz w:val="28"/>
          <w:szCs w:val="28"/>
        </w:rPr>
        <w:t>9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443A03">
        <w:rPr>
          <w:rFonts w:ascii="Times New Roman" w:hAnsi="Times New Roman" w:cs="Times New Roman"/>
          <w:sz w:val="28"/>
          <w:szCs w:val="28"/>
        </w:rPr>
        <w:t xml:space="preserve">3173161,81 </w:t>
      </w:r>
      <w:r w:rsidR="0086633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30CD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ростом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43A03">
        <w:rPr>
          <w:rFonts w:ascii="Times New Roman" w:hAnsi="Times New Roman" w:cs="Times New Roman"/>
          <w:sz w:val="28"/>
          <w:szCs w:val="28"/>
        </w:rPr>
        <w:t xml:space="preserve">513863,26 </w:t>
      </w:r>
      <w:r w:rsidR="0086633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57E4">
        <w:rPr>
          <w:rFonts w:ascii="Times New Roman" w:hAnsi="Times New Roman" w:cs="Times New Roman"/>
          <w:sz w:val="28"/>
          <w:szCs w:val="28"/>
        </w:rPr>
        <w:t>, или на 19,32 %</w:t>
      </w:r>
      <w:r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прогнозным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3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D6" w:rsidRPr="00930CDC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116DA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 w:rsidR="00116DA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6DA4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прогнозными показателями</w:t>
      </w:r>
      <w:r w:rsidR="00EE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 поступлением доходов сверх первоначально утвержденных объемов, а также направлением на расходы бюджетов остатков средств бюджетов, сложившихся на счетах бюджетов на начало 201</w:t>
      </w:r>
      <w:r w:rsidR="00116D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116DA4">
        <w:rPr>
          <w:rFonts w:ascii="Times New Roman" w:hAnsi="Times New Roman" w:cs="Times New Roman"/>
          <w:sz w:val="28"/>
          <w:szCs w:val="28"/>
        </w:rPr>
        <w:t>9</w:t>
      </w:r>
      <w:r w:rsidR="00443A03">
        <w:rPr>
          <w:rFonts w:ascii="Times New Roman" w:hAnsi="Times New Roman" w:cs="Times New Roman"/>
          <w:sz w:val="28"/>
          <w:szCs w:val="28"/>
        </w:rPr>
        <w:t xml:space="preserve"> года де</w:t>
      </w:r>
      <w:r>
        <w:rPr>
          <w:rFonts w:ascii="Times New Roman" w:hAnsi="Times New Roman" w:cs="Times New Roman"/>
          <w:sz w:val="28"/>
          <w:szCs w:val="28"/>
        </w:rPr>
        <w:t xml:space="preserve">фицит </w:t>
      </w:r>
      <w:r w:rsidR="00116DA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443A03">
        <w:rPr>
          <w:rFonts w:ascii="Times New Roman" w:hAnsi="Times New Roman" w:cs="Times New Roman"/>
          <w:sz w:val="28"/>
          <w:szCs w:val="28"/>
        </w:rPr>
        <w:t>189344,05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A03">
        <w:rPr>
          <w:rFonts w:ascii="Times New Roman" w:hAnsi="Times New Roman" w:cs="Times New Roman"/>
          <w:sz w:val="28"/>
          <w:szCs w:val="28"/>
        </w:rPr>
        <w:t>Источниками покрытия дефицита местного бюджета являются остатки средств местного бюджета сложившиеся на начало года и муниципальные заимствования.</w:t>
      </w:r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1C" w:rsidRDefault="00634525" w:rsidP="006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</w:t>
      </w:r>
      <w:r w:rsidR="00E2371C">
        <w:rPr>
          <w:rFonts w:ascii="Times New Roman" w:hAnsi="Times New Roman" w:cs="Times New Roman"/>
          <w:sz w:val="28"/>
          <w:szCs w:val="28"/>
        </w:rPr>
        <w:t>а</w:t>
      </w:r>
    </w:p>
    <w:p w:rsidR="00634525" w:rsidRPr="00CF2CA7" w:rsidRDefault="00634525" w:rsidP="006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</w:t>
      </w:r>
      <w:r w:rsidR="00E2371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2371C">
        <w:rPr>
          <w:rFonts w:ascii="Times New Roman" w:hAnsi="Times New Roman" w:cs="Times New Roman"/>
          <w:sz w:val="28"/>
          <w:szCs w:val="28"/>
        </w:rPr>
        <w:t>И.А.Дуденкова</w:t>
      </w:r>
      <w:proofErr w:type="spellEnd"/>
    </w:p>
    <w:p w:rsidR="00274CA5" w:rsidRDefault="00274CA5"/>
    <w:sectPr w:rsidR="00274CA5" w:rsidSect="00274CA5">
      <w:headerReference w:type="default" r:id="rId7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03" w:rsidRDefault="00443A03">
      <w:r>
        <w:separator/>
      </w:r>
    </w:p>
  </w:endnote>
  <w:endnote w:type="continuationSeparator" w:id="0">
    <w:p w:rsidR="00443A03" w:rsidRDefault="0044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03" w:rsidRDefault="00443A03">
      <w:r>
        <w:separator/>
      </w:r>
    </w:p>
  </w:footnote>
  <w:footnote w:type="continuationSeparator" w:id="0">
    <w:p w:rsidR="00443A03" w:rsidRDefault="0044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3A03" w:rsidRPr="005B720C" w:rsidRDefault="00443A03" w:rsidP="00274C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37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3D"/>
    <w:rsid w:val="000E2E3D"/>
    <w:rsid w:val="000E34E0"/>
    <w:rsid w:val="00116DA4"/>
    <w:rsid w:val="001C0DCD"/>
    <w:rsid w:val="001F34C6"/>
    <w:rsid w:val="001F44D6"/>
    <w:rsid w:val="00274CA5"/>
    <w:rsid w:val="003F50F4"/>
    <w:rsid w:val="004425D5"/>
    <w:rsid w:val="00443A03"/>
    <w:rsid w:val="004765BD"/>
    <w:rsid w:val="0049728A"/>
    <w:rsid w:val="005F57D6"/>
    <w:rsid w:val="00634525"/>
    <w:rsid w:val="00672C50"/>
    <w:rsid w:val="006F03B6"/>
    <w:rsid w:val="007D3674"/>
    <w:rsid w:val="00866331"/>
    <w:rsid w:val="008A66F9"/>
    <w:rsid w:val="00941527"/>
    <w:rsid w:val="009563A3"/>
    <w:rsid w:val="009826E2"/>
    <w:rsid w:val="009C458D"/>
    <w:rsid w:val="00A263CA"/>
    <w:rsid w:val="00B35FBD"/>
    <w:rsid w:val="00B61F80"/>
    <w:rsid w:val="00B875A1"/>
    <w:rsid w:val="00C024E4"/>
    <w:rsid w:val="00C81A86"/>
    <w:rsid w:val="00C92784"/>
    <w:rsid w:val="00C95417"/>
    <w:rsid w:val="00CF6049"/>
    <w:rsid w:val="00E2371C"/>
    <w:rsid w:val="00E24E76"/>
    <w:rsid w:val="00E42770"/>
    <w:rsid w:val="00E60AAC"/>
    <w:rsid w:val="00EE5665"/>
    <w:rsid w:val="00EE57E4"/>
    <w:rsid w:val="00F437F2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7D6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D6"/>
  </w:style>
  <w:style w:type="table" w:styleId="a5">
    <w:name w:val="Table Grid"/>
    <w:basedOn w:val="a1"/>
    <w:uiPriority w:val="59"/>
    <w:rsid w:val="005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7D6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D6"/>
  </w:style>
  <w:style w:type="table" w:styleId="a5">
    <w:name w:val="Table Grid"/>
    <w:basedOn w:val="a1"/>
    <w:uiPriority w:val="59"/>
    <w:rsid w:val="005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Dohod1</cp:lastModifiedBy>
  <cp:revision>25</cp:revision>
  <dcterms:created xsi:type="dcterms:W3CDTF">2020-02-14T09:03:00Z</dcterms:created>
  <dcterms:modified xsi:type="dcterms:W3CDTF">2020-04-03T06:41:00Z</dcterms:modified>
</cp:coreProperties>
</file>