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39" w:rsidRDefault="0046353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C67D94" w:rsidP="007F54DC">
      <w:pPr>
        <w:tabs>
          <w:tab w:val="left" w:pos="7938"/>
        </w:tabs>
      </w:pPr>
      <w:r>
        <w:t>17.12.2020</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t xml:space="preserve">                       </w:t>
      </w:r>
      <w:r w:rsidR="001B3FDE">
        <w:t xml:space="preserve">       </w:t>
      </w:r>
      <w:r>
        <w:t xml:space="preserve">   № 2733</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 xml:space="preserve">одования) </w:t>
      </w:r>
      <w:r w:rsidRPr="00CE6027">
        <w:t>с 1 января 2021 года.</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C835A6" w:rsidRPr="00C835A6" w:rsidRDefault="00CE6027" w:rsidP="00CE6027">
      <w:pPr>
        <w:tabs>
          <w:tab w:val="left" w:pos="8609"/>
        </w:tabs>
        <w:suppressAutoHyphens/>
        <w:overflowPunct w:val="0"/>
        <w:autoSpaceDE w:val="0"/>
        <w:autoSpaceDN w:val="0"/>
        <w:adjustRightInd w:val="0"/>
      </w:pPr>
      <w:r>
        <w:lastRenderedPageBreak/>
        <w:t xml:space="preserve">                  </w:t>
      </w:r>
      <w:r w:rsidR="005971DF">
        <w:t xml:space="preserve">                                          </w:t>
      </w:r>
      <w:r>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bookmarkStart w:id="0" w:name="_GoBack"/>
      <w:bookmarkEnd w:id="0"/>
    </w:p>
    <w:p w:rsidR="00C835A6" w:rsidRPr="00C835A6" w:rsidRDefault="0076302E" w:rsidP="0076302E">
      <w:pPr>
        <w:tabs>
          <w:tab w:val="left" w:pos="8609"/>
        </w:tabs>
        <w:suppressAutoHyphens/>
        <w:overflowPunct w:val="0"/>
        <w:autoSpaceDE w:val="0"/>
        <w:autoSpaceDN w:val="0"/>
        <w:adjustRightInd w:val="0"/>
        <w:ind w:left="4678"/>
        <w:rPr>
          <w:color w:val="0000FF"/>
        </w:rPr>
      </w:pPr>
      <w:r w:rsidRPr="00B746E0">
        <w:t>О</w:t>
      </w:r>
      <w:r w:rsidR="00C835A6" w:rsidRPr="00B746E0">
        <w:t>т</w:t>
      </w:r>
      <w:r>
        <w:t xml:space="preserve"> 17.12.2020   </w:t>
      </w:r>
      <w:r w:rsidR="00C835A6" w:rsidRPr="00B746E0">
        <w:t xml:space="preserve"> № </w:t>
      </w:r>
      <w:r>
        <w:t>2733</w:t>
      </w:r>
      <w:r w:rsidR="00C835A6"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CE6027">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B74DF2" w:rsidRDefault="00B74DF2" w:rsidP="003C5DD7"/>
    <w:p w:rsidR="00483FC1" w:rsidRDefault="00483FC1" w:rsidP="003C5DD7"/>
    <w:p w:rsidR="000E0D32" w:rsidRDefault="000E0D32" w:rsidP="00916BAC"/>
    <w:p w:rsidR="003F74EE" w:rsidRDefault="003F74EE" w:rsidP="00916BAC"/>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E54AB0">
              <w:rPr>
                <w:bCs/>
              </w:rPr>
              <w:t>55 </w:t>
            </w:r>
            <w:r w:rsidR="00BB7DC7">
              <w:rPr>
                <w:bCs/>
              </w:rPr>
              <w:t>856</w:t>
            </w:r>
            <w:r w:rsidR="00E54AB0">
              <w:rPr>
                <w:bCs/>
              </w:rPr>
              <w:t>,96</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E54AB0">
              <w:rPr>
                <w:bCs/>
              </w:rPr>
              <w:t>55 </w:t>
            </w:r>
            <w:r w:rsidR="00BB7DC7">
              <w:rPr>
                <w:bCs/>
              </w:rPr>
              <w:t>856</w:t>
            </w:r>
            <w:r w:rsidR="00E54AB0">
              <w:rPr>
                <w:bCs/>
              </w:rPr>
              <w:t>,96</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E828D5">
              <w:rPr>
                <w:shd w:val="clear" w:color="auto" w:fill="FFFFFF"/>
              </w:rPr>
              <w:t>9 304,65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E54AB0" w:rsidRPr="00E54AB0">
              <w:t>8 9</w:t>
            </w:r>
            <w:r w:rsidR="00BB7DC7">
              <w:t>00</w:t>
            </w:r>
            <w:r w:rsidR="00E54AB0" w:rsidRPr="00E54AB0">
              <w:t>,95</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 0,00 тыс.руб.;</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CC7F40"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572DD8">
      <w:pPr>
        <w:rPr>
          <w:rFonts w:eastAsiaTheme="minorHAnsi"/>
          <w:lang w:eastAsia="en-US"/>
        </w:rPr>
      </w:pPr>
    </w:p>
    <w:p w:rsidR="00E55A60" w:rsidRDefault="00E55A60" w:rsidP="00572DD8">
      <w:pPr>
        <w:rPr>
          <w:rFonts w:eastAsiaTheme="minorHAnsi"/>
          <w:lang w:eastAsia="en-US"/>
        </w:rPr>
      </w:pPr>
    </w:p>
    <w:p w:rsidR="00EC6D48" w:rsidRDefault="00EC6D48"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lastRenderedPageBreak/>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FA6ACF">
              <w:rPr>
                <w:rFonts w:ascii="Times New Roman" w:hAnsi="Times New Roman" w:cs="Times New Roman"/>
                <w:sz w:val="28"/>
                <w:szCs w:val="28"/>
              </w:rPr>
              <w:t>7 930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4643E9">
              <w:t>7 930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52845">
              <w:rPr>
                <w:shd w:val="clear" w:color="auto" w:fill="FFFFFF"/>
              </w:rPr>
              <w:t>86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161C0F">
              <w:rPr>
                <w:shd w:val="clear" w:color="auto" w:fill="FFFFFF"/>
              </w:rPr>
              <w:t>1 470</w:t>
            </w:r>
            <w:r w:rsidR="00CC24A1">
              <w:rPr>
                <w:shd w:val="clear" w:color="auto" w:fill="FFFFFF"/>
              </w:rPr>
              <w:t>,00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w:t>
            </w:r>
            <w:r w:rsidRPr="00852334">
              <w:lastRenderedPageBreak/>
              <w:t>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F57884">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2021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топографических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 xml:space="preserve">ФЗ «О внесении изменений в Градостроительный кодекс Российской Федерации и </w:t>
      </w:r>
      <w:r w:rsidR="004207CB" w:rsidRPr="004207CB">
        <w:lastRenderedPageBreak/>
        <w:t>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Pr>
          <w:color w:val="000000"/>
        </w:rPr>
        <w:t xml:space="preserve"> проектов в 2021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1B3FDE">
          <w:headerReference w:type="first" r:id="rId9"/>
          <w:pgSz w:w="11906" w:h="16838"/>
          <w:pgMar w:top="1021" w:right="709" w:bottom="1021" w:left="1559"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314571" w:rsidP="00F57884">
            <w:pPr>
              <w:jc w:val="center"/>
              <w:rPr>
                <w:sz w:val="24"/>
                <w:szCs w:val="24"/>
              </w:rPr>
            </w:pPr>
            <w:r>
              <w:rPr>
                <w:sz w:val="24"/>
                <w:szCs w:val="24"/>
              </w:rPr>
              <w:t>4</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314571" w:rsidP="00F57884">
            <w:pPr>
              <w:jc w:val="center"/>
              <w:rPr>
                <w:sz w:val="24"/>
                <w:szCs w:val="24"/>
              </w:rPr>
            </w:pPr>
            <w:r>
              <w:rPr>
                <w:sz w:val="24"/>
                <w:szCs w:val="24"/>
              </w:rPr>
              <w:t>10</w:t>
            </w:r>
          </w:p>
        </w:tc>
        <w:tc>
          <w:tcPr>
            <w:tcW w:w="992" w:type="dxa"/>
            <w:vAlign w:val="center"/>
          </w:tcPr>
          <w:p w:rsidR="002F7AAA" w:rsidRPr="00B43E7D" w:rsidRDefault="00D90EE3" w:rsidP="00F57884">
            <w:pPr>
              <w:jc w:val="center"/>
              <w:rPr>
                <w:sz w:val="24"/>
                <w:szCs w:val="24"/>
              </w:rPr>
            </w:pPr>
            <w:r>
              <w:rPr>
                <w:sz w:val="24"/>
                <w:szCs w:val="24"/>
              </w:rPr>
              <w:t>60</w:t>
            </w:r>
          </w:p>
        </w:tc>
        <w:tc>
          <w:tcPr>
            <w:tcW w:w="992" w:type="dxa"/>
            <w:vAlign w:val="center"/>
          </w:tcPr>
          <w:p w:rsidR="002F7AAA" w:rsidRPr="00B43E7D" w:rsidRDefault="00D90EE3"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314571" w:rsidP="00F57884">
            <w:pPr>
              <w:jc w:val="center"/>
              <w:rPr>
                <w:sz w:val="24"/>
                <w:szCs w:val="24"/>
              </w:rPr>
            </w:pPr>
            <w:r>
              <w:rPr>
                <w:sz w:val="24"/>
                <w:szCs w:val="24"/>
              </w:rPr>
              <w:t>15</w:t>
            </w:r>
          </w:p>
        </w:tc>
        <w:tc>
          <w:tcPr>
            <w:tcW w:w="992" w:type="dxa"/>
            <w:vAlign w:val="center"/>
          </w:tcPr>
          <w:p w:rsidR="002F7AAA" w:rsidRPr="00B43E7D" w:rsidRDefault="00D90EE3" w:rsidP="00F57884">
            <w:pPr>
              <w:jc w:val="center"/>
              <w:rPr>
                <w:sz w:val="24"/>
                <w:szCs w:val="24"/>
              </w:rPr>
            </w:pPr>
            <w:r>
              <w:rPr>
                <w:sz w:val="24"/>
                <w:szCs w:val="24"/>
              </w:rPr>
              <w:t>60</w:t>
            </w:r>
          </w:p>
        </w:tc>
        <w:tc>
          <w:tcPr>
            <w:tcW w:w="992" w:type="dxa"/>
            <w:vAlign w:val="center"/>
          </w:tcPr>
          <w:p w:rsidR="002F7AAA" w:rsidRPr="00B43E7D" w:rsidRDefault="00D90EE3" w:rsidP="00F57884">
            <w:pPr>
              <w:jc w:val="center"/>
              <w:rPr>
                <w:sz w:val="24"/>
                <w:szCs w:val="24"/>
              </w:rPr>
            </w:pPr>
            <w:r>
              <w:rPr>
                <w:sz w:val="24"/>
                <w:szCs w:val="24"/>
              </w:rPr>
              <w:t>25</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D95213" w:rsidP="00F57884">
            <w:pPr>
              <w:jc w:val="center"/>
              <w:rPr>
                <w:sz w:val="24"/>
                <w:szCs w:val="24"/>
              </w:rPr>
            </w:pPr>
            <w:r>
              <w:rPr>
                <w:sz w:val="24"/>
                <w:szCs w:val="24"/>
              </w:rPr>
              <w:t>2</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5A2077"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2F7AAA" w:rsidP="00D90EE3">
            <w:pPr>
              <w:jc w:val="center"/>
              <w:rPr>
                <w:sz w:val="24"/>
                <w:szCs w:val="24"/>
              </w:rPr>
            </w:pPr>
            <w:r>
              <w:rPr>
                <w:sz w:val="24"/>
                <w:szCs w:val="24"/>
              </w:rPr>
              <w:t>10</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733E" w:rsidP="003B2F6D">
            <w:pPr>
              <w:rPr>
                <w:b/>
                <w:sz w:val="22"/>
                <w:szCs w:val="22"/>
              </w:rPr>
            </w:pPr>
            <w:r w:rsidRPr="00F2733E">
              <w:rPr>
                <w:b/>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E667F" w:rsidP="003540F1">
            <w:pPr>
              <w:rPr>
                <w:b/>
                <w:sz w:val="22"/>
                <w:szCs w:val="22"/>
              </w:rPr>
            </w:pPr>
            <w:r w:rsidRPr="003E667F">
              <w:rPr>
                <w:b/>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733E" w:rsidP="00B46C92">
            <w:pPr>
              <w:rPr>
                <w:sz w:val="22"/>
                <w:szCs w:val="22"/>
              </w:rPr>
            </w:pPr>
            <w:r w:rsidRPr="00F2733E">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37020" w:rsidP="003E667F">
            <w:pPr>
              <w:rPr>
                <w:sz w:val="22"/>
                <w:szCs w:val="22"/>
              </w:rPr>
            </w:pPr>
            <w:r w:rsidRPr="00337020">
              <w:rPr>
                <w:sz w:val="22"/>
                <w:szCs w:val="22"/>
              </w:rPr>
              <w:t>8 9</w:t>
            </w:r>
            <w:r w:rsidR="003E667F">
              <w:rPr>
                <w:sz w:val="22"/>
                <w:szCs w:val="22"/>
              </w:rPr>
              <w:t>00</w:t>
            </w:r>
            <w:r w:rsidRPr="00337020">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733E" w:rsidP="00A952CE">
            <w:pPr>
              <w:jc w:val="center"/>
              <w:rPr>
                <w:sz w:val="22"/>
                <w:szCs w:val="22"/>
              </w:rPr>
            </w:pPr>
            <w:r>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E667F" w:rsidP="003540F1">
            <w:pPr>
              <w:jc w:val="center"/>
              <w:rPr>
                <w:sz w:val="22"/>
                <w:szCs w:val="22"/>
              </w:rPr>
            </w:pPr>
            <w:r w:rsidRPr="003E667F">
              <w:rPr>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1 470</w:t>
            </w:r>
            <w:r w:rsidR="00E74761" w:rsidRPr="00E7476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9061A6">
              <w:rPr>
                <w:sz w:val="22"/>
                <w:szCs w:val="22"/>
              </w:rPr>
              <w:t>86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1 470</w:t>
            </w:r>
            <w:r w:rsidR="00E74761" w:rsidRPr="00E7476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3B2F6D">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1 470</w:t>
            </w:r>
            <w:r w:rsidR="00E7476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1 220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1 220</w:t>
            </w:r>
            <w:r w:rsidR="00060B7D" w:rsidRPr="00060B7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1564CB">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1 220</w:t>
            </w:r>
            <w:r w:rsidR="00060B7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lastRenderedPageBreak/>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9061A6" w:rsidP="00790F18">
            <w:pPr>
              <w:jc w:val="center"/>
              <w:outlineLvl w:val="2"/>
              <w:rPr>
                <w:sz w:val="22"/>
                <w:szCs w:val="22"/>
              </w:rPr>
            </w:pPr>
            <w:r>
              <w:rPr>
                <w:sz w:val="22"/>
                <w:szCs w:val="22"/>
              </w:rPr>
              <w:t>5</w:t>
            </w:r>
            <w:r w:rsidR="001564CB">
              <w:rPr>
                <w:sz w:val="22"/>
                <w:szCs w:val="22"/>
              </w:rPr>
              <w:t>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120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D659CB" w:rsidP="00806BF2">
            <w:pPr>
              <w:jc w:val="center"/>
            </w:pPr>
            <w:r>
              <w:rPr>
                <w:sz w:val="22"/>
                <w:szCs w:val="22"/>
              </w:rPr>
              <w:t>120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D659CB" w:rsidP="00806BF2">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D659CB" w:rsidP="00790F18">
            <w:r>
              <w:rPr>
                <w:sz w:val="22"/>
                <w:szCs w:val="22"/>
              </w:rPr>
              <w:t xml:space="preserve">       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659CB" w:rsidP="00790F18">
            <w:pPr>
              <w:jc w:val="center"/>
            </w:pPr>
            <w:r>
              <w:rPr>
                <w:sz w:val="22"/>
                <w:szCs w:val="22"/>
              </w:rPr>
              <w:t>120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659CB"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659CB" w:rsidP="00790F18">
            <w:pPr>
              <w:jc w:val="cente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D659CB" w:rsidP="00790F18">
            <w:pPr>
              <w:jc w:val="center"/>
              <w:outlineLvl w:val="2"/>
              <w:rPr>
                <w:sz w:val="22"/>
                <w:szCs w:val="22"/>
              </w:rPr>
            </w:pPr>
            <w:r>
              <w:rPr>
                <w:sz w:val="22"/>
                <w:szCs w:val="22"/>
              </w:rPr>
              <w:t>250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659CB" w:rsidP="00790F18">
            <w:pPr>
              <w:jc w:val="center"/>
              <w:outlineLvl w:val="2"/>
              <w:rPr>
                <w:sz w:val="22"/>
                <w:szCs w:val="22"/>
              </w:rPr>
            </w:pPr>
            <w:r>
              <w:rPr>
                <w:sz w:val="22"/>
                <w:szCs w:val="22"/>
              </w:rPr>
              <w:t>250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659CB" w:rsidP="00790F18">
            <w:pPr>
              <w:jc w:val="center"/>
              <w:outlineLvl w:val="2"/>
              <w:rPr>
                <w:sz w:val="22"/>
                <w:szCs w:val="22"/>
              </w:rPr>
            </w:pPr>
            <w:r>
              <w:rPr>
                <w:sz w:val="22"/>
                <w:szCs w:val="22"/>
              </w:rPr>
              <w:t>250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D659CB" w:rsidP="00790F18">
            <w:pPr>
              <w:jc w:val="center"/>
              <w:outlineLvl w:val="2"/>
              <w:rPr>
                <w:sz w:val="22"/>
                <w:szCs w:val="22"/>
              </w:rPr>
            </w:pPr>
            <w:r>
              <w:rPr>
                <w:sz w:val="22"/>
                <w:szCs w:val="22"/>
              </w:rPr>
              <w:t>250</w:t>
            </w:r>
            <w:r w:rsid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D659CB" w:rsidP="00790F18">
            <w:pPr>
              <w:jc w:val="center"/>
              <w:outlineLvl w:val="2"/>
              <w:rPr>
                <w:sz w:val="22"/>
                <w:szCs w:val="22"/>
              </w:rPr>
            </w:pPr>
            <w:r>
              <w:rPr>
                <w:sz w:val="22"/>
                <w:szCs w:val="22"/>
              </w:rPr>
              <w:t>250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D659CB" w:rsidP="00790F18">
            <w:pPr>
              <w:jc w:val="center"/>
              <w:outlineLvl w:val="2"/>
              <w:rPr>
                <w:sz w:val="22"/>
                <w:szCs w:val="22"/>
              </w:rPr>
            </w:pPr>
            <w:r>
              <w:rPr>
                <w:sz w:val="22"/>
                <w:szCs w:val="22"/>
              </w:rPr>
              <w:t>250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250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250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250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12681E" w:rsidP="00BB3DE1">
            <w:pPr>
              <w:jc w:val="center"/>
              <w:rPr>
                <w:sz w:val="22"/>
                <w:szCs w:val="22"/>
              </w:rPr>
            </w:pPr>
            <w:r>
              <w:rPr>
                <w:sz w:val="22"/>
                <w:szCs w:val="22"/>
              </w:rPr>
              <w:t>250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250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250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977086">
            <w:pPr>
              <w:rPr>
                <w:b/>
                <w:sz w:val="22"/>
                <w:szCs w:val="22"/>
              </w:rPr>
            </w:pPr>
            <w:r w:rsidRPr="009A165F">
              <w:rPr>
                <w:b/>
                <w:sz w:val="22"/>
                <w:szCs w:val="22"/>
              </w:rPr>
              <w:t>8</w:t>
            </w:r>
            <w:r w:rsidR="00977086">
              <w:rPr>
                <w:b/>
                <w:sz w:val="22"/>
                <w:szCs w:val="22"/>
              </w:rPr>
              <w:t> </w:t>
            </w:r>
            <w:r w:rsidRPr="009A165F">
              <w:rPr>
                <w:b/>
                <w:sz w:val="22"/>
                <w:szCs w:val="22"/>
              </w:rPr>
              <w:t>4</w:t>
            </w:r>
            <w:r w:rsidR="00977086">
              <w:rPr>
                <w:b/>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86131" w:rsidP="003540F1">
            <w:pPr>
              <w:rPr>
                <w:b/>
                <w:sz w:val="22"/>
                <w:szCs w:val="22"/>
              </w:rPr>
            </w:pPr>
            <w:r w:rsidRPr="00286131">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roofErr w:type="gramStart"/>
            <w:r w:rsidRPr="00706581">
              <w:rPr>
                <w:sz w:val="22"/>
                <w:szCs w:val="22"/>
              </w:rPr>
              <w:t xml:space="preserve">ответственному исполнителю  (Управление архитектуры и градостроительства </w:t>
            </w:r>
            <w:proofErr w:type="gramEnd"/>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77086" w:rsidP="00F064F4">
            <w:pPr>
              <w:rPr>
                <w:sz w:val="22"/>
                <w:szCs w:val="22"/>
              </w:rPr>
            </w:pPr>
            <w:r w:rsidRPr="00977086">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86131" w:rsidP="003540F1">
            <w:pP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77086" w:rsidP="00F064F4">
            <w:pPr>
              <w:rPr>
                <w:sz w:val="22"/>
                <w:szCs w:val="22"/>
              </w:rPr>
            </w:pPr>
            <w:r w:rsidRPr="00977086">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86131" w:rsidP="003540F1">
            <w:pP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51612" w:rsidP="009A165F">
            <w:pPr>
              <w:rPr>
                <w:b/>
                <w:sz w:val="22"/>
                <w:szCs w:val="22"/>
              </w:rPr>
            </w:pPr>
            <w:r w:rsidRPr="00D51612">
              <w:rPr>
                <w:b/>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86131" w:rsidP="003540F1">
            <w:pPr>
              <w:rPr>
                <w:b/>
                <w:sz w:val="22"/>
                <w:szCs w:val="22"/>
              </w:rPr>
            </w:pPr>
            <w:r w:rsidRPr="00286131">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86131" w:rsidP="003540F1">
            <w:pP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86131" w:rsidP="003540F1">
            <w:pP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51612" w:rsidP="003B2F6D">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286131" w:rsidP="003540F1">
            <w:pP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outlineLvl w:val="2"/>
              <w:rPr>
                <w:sz w:val="22"/>
                <w:szCs w:val="22"/>
              </w:rPr>
            </w:pPr>
            <w:r w:rsidRPr="009A165F">
              <w:rPr>
                <w:sz w:val="22"/>
                <w:szCs w:val="22"/>
              </w:rPr>
              <w:t>8 4</w:t>
            </w:r>
            <w:r>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286131" w:rsidP="003540F1">
            <w:pPr>
              <w:jc w:val="center"/>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D51612">
            <w:pPr>
              <w:jc w:val="center"/>
              <w:outlineLvl w:val="2"/>
              <w:rPr>
                <w:sz w:val="22"/>
                <w:szCs w:val="22"/>
              </w:rPr>
            </w:pPr>
            <w:r w:rsidRPr="009A165F">
              <w:rPr>
                <w:sz w:val="22"/>
                <w:szCs w:val="22"/>
              </w:rPr>
              <w:t>8 4</w:t>
            </w:r>
            <w:r w:rsidR="00D51612">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FD6324">
            <w:pPr>
              <w:jc w:val="center"/>
              <w:outlineLvl w:val="2"/>
              <w:rPr>
                <w:sz w:val="22"/>
                <w:szCs w:val="22"/>
              </w:rPr>
            </w:pPr>
            <w:r w:rsidRPr="0028613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8A" w:rsidRDefault="00673A8A" w:rsidP="00635CEF">
      <w:r>
        <w:separator/>
      </w:r>
    </w:p>
  </w:endnote>
  <w:endnote w:type="continuationSeparator" w:id="0">
    <w:p w:rsidR="00673A8A" w:rsidRDefault="00673A8A" w:rsidP="0063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8A" w:rsidRDefault="00673A8A" w:rsidP="00635CEF">
      <w:r>
        <w:separator/>
      </w:r>
    </w:p>
  </w:footnote>
  <w:footnote w:type="continuationSeparator" w:id="0">
    <w:p w:rsidR="00673A8A" w:rsidRDefault="00673A8A" w:rsidP="0063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E" w:rsidRDefault="0012681E">
    <w:pPr>
      <w:pStyle w:val="a7"/>
      <w:jc w:val="center"/>
    </w:pPr>
  </w:p>
  <w:p w:rsidR="0012681E" w:rsidRDefault="001268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685F"/>
    <w:rsid w:val="0003739D"/>
    <w:rsid w:val="00040041"/>
    <w:rsid w:val="00040B3C"/>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E4C"/>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7CAA"/>
    <w:rsid w:val="0047067C"/>
    <w:rsid w:val="00470B2E"/>
    <w:rsid w:val="00472E05"/>
    <w:rsid w:val="00473036"/>
    <w:rsid w:val="00475587"/>
    <w:rsid w:val="004777A1"/>
    <w:rsid w:val="00480166"/>
    <w:rsid w:val="0048115C"/>
    <w:rsid w:val="00481597"/>
    <w:rsid w:val="004815AF"/>
    <w:rsid w:val="00482471"/>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73A"/>
    <w:rsid w:val="004B6843"/>
    <w:rsid w:val="004B75EE"/>
    <w:rsid w:val="004B7DF9"/>
    <w:rsid w:val="004C11FA"/>
    <w:rsid w:val="004C3A2F"/>
    <w:rsid w:val="004C3C66"/>
    <w:rsid w:val="004C4D8F"/>
    <w:rsid w:val="004C569C"/>
    <w:rsid w:val="004D1531"/>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998"/>
    <w:rsid w:val="00647A44"/>
    <w:rsid w:val="00647C80"/>
    <w:rsid w:val="00651074"/>
    <w:rsid w:val="006523AB"/>
    <w:rsid w:val="006540D7"/>
    <w:rsid w:val="00655C0F"/>
    <w:rsid w:val="006577C5"/>
    <w:rsid w:val="00661370"/>
    <w:rsid w:val="0066500B"/>
    <w:rsid w:val="00665784"/>
    <w:rsid w:val="0066644D"/>
    <w:rsid w:val="006672F1"/>
    <w:rsid w:val="006673BF"/>
    <w:rsid w:val="00670159"/>
    <w:rsid w:val="006702EB"/>
    <w:rsid w:val="00671163"/>
    <w:rsid w:val="00671229"/>
    <w:rsid w:val="006713B8"/>
    <w:rsid w:val="00671BCD"/>
    <w:rsid w:val="00671D64"/>
    <w:rsid w:val="0067271B"/>
    <w:rsid w:val="00673A8A"/>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378E"/>
    <w:rsid w:val="00735F09"/>
    <w:rsid w:val="0073732D"/>
    <w:rsid w:val="007405A5"/>
    <w:rsid w:val="007413E7"/>
    <w:rsid w:val="00742392"/>
    <w:rsid w:val="00743DDF"/>
    <w:rsid w:val="007450F3"/>
    <w:rsid w:val="00746A71"/>
    <w:rsid w:val="00747F4C"/>
    <w:rsid w:val="00751F66"/>
    <w:rsid w:val="00754081"/>
    <w:rsid w:val="007552F9"/>
    <w:rsid w:val="00757674"/>
    <w:rsid w:val="00757780"/>
    <w:rsid w:val="0076302E"/>
    <w:rsid w:val="00763D4C"/>
    <w:rsid w:val="00765258"/>
    <w:rsid w:val="00767729"/>
    <w:rsid w:val="00770B7D"/>
    <w:rsid w:val="0077491E"/>
    <w:rsid w:val="007749B4"/>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3813"/>
    <w:rsid w:val="007A58F9"/>
    <w:rsid w:val="007A5BA8"/>
    <w:rsid w:val="007A5F38"/>
    <w:rsid w:val="007B04F9"/>
    <w:rsid w:val="007B0519"/>
    <w:rsid w:val="007B1C57"/>
    <w:rsid w:val="007B2C48"/>
    <w:rsid w:val="007B2CEE"/>
    <w:rsid w:val="007B2F6B"/>
    <w:rsid w:val="007B4E7C"/>
    <w:rsid w:val="007B6EF8"/>
    <w:rsid w:val="007C1BAD"/>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4DE5"/>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8F4"/>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1003"/>
    <w:rsid w:val="00B7286E"/>
    <w:rsid w:val="00B740F0"/>
    <w:rsid w:val="00B745F9"/>
    <w:rsid w:val="00B746E0"/>
    <w:rsid w:val="00B74DF2"/>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C7F4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60C87"/>
    <w:rsid w:val="00D63C08"/>
    <w:rsid w:val="00D644F8"/>
    <w:rsid w:val="00D64C60"/>
    <w:rsid w:val="00D6595C"/>
    <w:rsid w:val="00D659CB"/>
    <w:rsid w:val="00D6745A"/>
    <w:rsid w:val="00D67A13"/>
    <w:rsid w:val="00D722AA"/>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317D"/>
    <w:rsid w:val="00F0345A"/>
    <w:rsid w:val="00F064F4"/>
    <w:rsid w:val="00F070F6"/>
    <w:rsid w:val="00F16E17"/>
    <w:rsid w:val="00F229E5"/>
    <w:rsid w:val="00F2733E"/>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D03E1"/>
    <w:rsid w:val="00FD0470"/>
    <w:rsid w:val="00FD32C6"/>
    <w:rsid w:val="00FD5050"/>
    <w:rsid w:val="00FD6324"/>
    <w:rsid w:val="00FD6414"/>
    <w:rsid w:val="00FE0175"/>
    <w:rsid w:val="00FE27A1"/>
    <w:rsid w:val="00FE2869"/>
    <w:rsid w:val="00FE7940"/>
    <w:rsid w:val="00FF2F59"/>
    <w:rsid w:val="00FF3E7F"/>
    <w:rsid w:val="00FF4347"/>
    <w:rsid w:val="00FF5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C50A-F844-4267-990A-F02E5ED5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OO-88</cp:lastModifiedBy>
  <cp:revision>54</cp:revision>
  <cp:lastPrinted>2020-12-21T12:53:00Z</cp:lastPrinted>
  <dcterms:created xsi:type="dcterms:W3CDTF">2020-12-16T10:37:00Z</dcterms:created>
  <dcterms:modified xsi:type="dcterms:W3CDTF">2020-12-24T06:27:00Z</dcterms:modified>
</cp:coreProperties>
</file>