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4DC" w:rsidRDefault="00CA13BB" w:rsidP="00CA13BB">
      <w:pPr>
        <w:tabs>
          <w:tab w:val="left" w:pos="7938"/>
        </w:tabs>
        <w:jc w:val="center"/>
        <w:rPr>
          <w:b/>
        </w:rPr>
      </w:pPr>
      <w:r>
        <w:rPr>
          <w:b/>
        </w:rPr>
        <w:t>ПРОЕКТ</w:t>
      </w:r>
    </w:p>
    <w:p w:rsidR="00CA13BB" w:rsidRDefault="00CA13BB" w:rsidP="000612D1">
      <w:pPr>
        <w:tabs>
          <w:tab w:val="left" w:pos="7938"/>
        </w:tabs>
        <w:jc w:val="both"/>
        <w:rPr>
          <w:b/>
        </w:rPr>
      </w:pP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p>
    <w:p w:rsidR="007F54DC" w:rsidRPr="00D259D4" w:rsidRDefault="007F54DC" w:rsidP="007F54DC">
      <w:pPr>
        <w:tabs>
          <w:tab w:val="left" w:pos="7938"/>
        </w:tabs>
      </w:pPr>
      <w:r>
        <w:t xml:space="preserve">                </w:t>
      </w:r>
      <w:r w:rsidR="00CF1E11">
        <w:t>2020г.</w:t>
      </w:r>
      <w:r>
        <w:t xml:space="preserve">   </w:t>
      </w:r>
      <w:r w:rsidR="00B47F43">
        <w:t xml:space="preserve">  </w:t>
      </w:r>
      <w:r w:rsidR="00B8685D">
        <w:t xml:space="preserve">      </w:t>
      </w:r>
      <w:r w:rsidR="00CF1E11">
        <w:t xml:space="preserve">      </w:t>
      </w:r>
      <w:r w:rsidR="00B8685D">
        <w:t xml:space="preserve"> </w:t>
      </w:r>
      <w:r w:rsidR="00B47F43">
        <w:t xml:space="preserve">   </w:t>
      </w:r>
      <w:r>
        <w:t>г.  Минеральные Воды</w:t>
      </w:r>
      <w:r w:rsidR="00B8685D">
        <w:t xml:space="preserve">                          № </w:t>
      </w:r>
    </w:p>
    <w:p w:rsidR="00B47F4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p>
    <w:p w:rsidR="00B858A1" w:rsidRPr="00F952A3" w:rsidRDefault="00B858A1" w:rsidP="00B858A1">
      <w:pPr>
        <w:tabs>
          <w:tab w:val="left" w:pos="3420"/>
        </w:tabs>
        <w:rPr>
          <w:color w:val="FFFFFF" w:themeColor="background1"/>
        </w:rPr>
      </w:pPr>
      <w:r w:rsidRPr="00F952A3">
        <w:rPr>
          <w:color w:val="FFFFFF" w:themeColor="background1"/>
        </w:rPr>
        <w:t xml:space="preserve">е Воды                        № </w:t>
      </w:r>
    </w:p>
    <w:p w:rsidR="00B80309" w:rsidRDefault="0082218B" w:rsidP="0077506A">
      <w:pPr>
        <w:tabs>
          <w:tab w:val="left" w:pos="0"/>
          <w:tab w:val="left" w:pos="8244"/>
        </w:tabs>
        <w:ind w:firstLine="709"/>
        <w:jc w:val="center"/>
      </w:pPr>
      <w:r w:rsidRPr="0082218B">
        <w:t xml:space="preserve">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t>11.12.2019</w:t>
      </w:r>
      <w:r w:rsidRPr="0082218B">
        <w:t xml:space="preserve"> № </w:t>
      </w:r>
      <w:r>
        <w:t>2714</w:t>
      </w:r>
    </w:p>
    <w:p w:rsidR="00B47F43" w:rsidRPr="00F952A3" w:rsidRDefault="00B47F43" w:rsidP="00B80309">
      <w:pPr>
        <w:tabs>
          <w:tab w:val="left" w:pos="0"/>
          <w:tab w:val="left" w:pos="8244"/>
        </w:tabs>
        <w:ind w:firstLine="709"/>
        <w:jc w:val="both"/>
      </w:pPr>
    </w:p>
    <w:p w:rsidR="00B80309" w:rsidRPr="00F952A3" w:rsidRDefault="00B80309" w:rsidP="00B80309">
      <w:pPr>
        <w:ind w:firstLine="708"/>
        <w:jc w:val="both"/>
      </w:pPr>
      <w:r w:rsidRPr="00883303">
        <w:t>В соответствии со статьёй 179 Бюджетного кодекса Российской Федерации от 31.07.1998 № 145-ФЗ</w:t>
      </w:r>
      <w:r w:rsidR="00716471">
        <w:t xml:space="preserve"> </w:t>
      </w:r>
      <w:r w:rsidR="0082218B" w:rsidRPr="0082218B">
        <w:t>администрация Минераловодского городского округа</w:t>
      </w:r>
      <w:r w:rsidR="0082218B">
        <w:t xml:space="preserve"> Ставропольского края</w:t>
      </w:r>
      <w:r w:rsidR="00AA58EF">
        <w:t>.</w:t>
      </w:r>
    </w:p>
    <w:p w:rsidR="00B47F43" w:rsidRPr="00F952A3" w:rsidRDefault="00B47F43" w:rsidP="00896D99">
      <w:pPr>
        <w:tabs>
          <w:tab w:val="left" w:pos="2552"/>
        </w:tabs>
        <w:jc w:val="both"/>
        <w:rPr>
          <w:color w:val="1F497D"/>
        </w:rPr>
      </w:pPr>
    </w:p>
    <w:p w:rsidR="00B80309" w:rsidRDefault="00B80309" w:rsidP="00896D99">
      <w:pPr>
        <w:tabs>
          <w:tab w:val="left" w:pos="0"/>
          <w:tab w:val="left" w:pos="7938"/>
        </w:tabs>
        <w:jc w:val="both"/>
      </w:pPr>
      <w:r w:rsidRPr="00F952A3">
        <w:t>ПОСТАНОВЛЯЕТ:</w:t>
      </w: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постановлениями администрации Минераловодского городс</w:t>
      </w:r>
      <w:r w:rsidR="00614968">
        <w:t>кого округа от 13.03.2016 № 494).</w:t>
      </w:r>
    </w:p>
    <w:p w:rsidR="00AA58EF" w:rsidRDefault="00AA58EF" w:rsidP="0082218B">
      <w:pPr>
        <w:widowControl w:val="0"/>
        <w:ind w:firstLine="708"/>
        <w:jc w:val="both"/>
      </w:pPr>
    </w:p>
    <w:p w:rsidR="00297071" w:rsidRDefault="00AA58EF" w:rsidP="00AA58EF">
      <w:pPr>
        <w:widowControl w:val="0"/>
        <w:ind w:firstLine="708"/>
        <w:jc w:val="both"/>
      </w:pPr>
      <w:r>
        <w:t xml:space="preserve">2. </w:t>
      </w:r>
      <w:bookmarkStart w:id="0" w:name="_GoBack"/>
      <w:r w:rsidRPr="00AA58EF">
        <w:t>Признать утратившими силу постановлени</w:t>
      </w:r>
      <w:r w:rsidR="00B05709">
        <w:t xml:space="preserve">е </w:t>
      </w:r>
      <w:r w:rsidRPr="00AA58EF">
        <w:t>администрации Минераловодского городского округа Ставропольского края</w:t>
      </w:r>
      <w:r>
        <w:t xml:space="preserve"> </w:t>
      </w:r>
      <w:r w:rsidR="00B05709">
        <w:t>от 30.12.2019</w:t>
      </w:r>
      <w:r w:rsidRPr="00AA58EF">
        <w:t xml:space="preserve"> № </w:t>
      </w:r>
      <w:r w:rsidR="00B05709">
        <w:t>2938</w:t>
      </w:r>
      <w:r w:rsidRPr="00AA58EF">
        <w:t xml:space="preserve"> «О внесении изменений в постановление администрации Минераловодского городского округа Ставропольского края от 22.12.2015 г. № 210»</w:t>
      </w:r>
      <w:r>
        <w:t>.</w:t>
      </w:r>
    </w:p>
    <w:bookmarkEnd w:id="0"/>
    <w:p w:rsidR="00AA58EF" w:rsidRDefault="00AA58EF" w:rsidP="00AA58EF">
      <w:pPr>
        <w:widowControl w:val="0"/>
        <w:ind w:firstLine="709"/>
        <w:jc w:val="both"/>
      </w:pPr>
    </w:p>
    <w:p w:rsidR="00297071" w:rsidRPr="00516E00" w:rsidRDefault="00AA58EF" w:rsidP="00AA58EF">
      <w:pPr>
        <w:widowControl w:val="0"/>
        <w:ind w:firstLine="709"/>
        <w:jc w:val="both"/>
      </w:pPr>
      <w:r>
        <w:t>3</w:t>
      </w:r>
      <w:r w:rsidR="006C108E">
        <w:t xml:space="preserve">. </w:t>
      </w:r>
      <w:r w:rsidR="00470B2E" w:rsidRPr="00470B2E">
        <w:t>Настоящее постановление подлежит размещению на официальном сайте администрации Минераловодского городского округа в информационно-телекоммуникационной сети «Интернет».</w:t>
      </w:r>
    </w:p>
    <w:p w:rsidR="00AA58EF" w:rsidRDefault="00AA58EF" w:rsidP="00AA58EF">
      <w:pPr>
        <w:tabs>
          <w:tab w:val="left" w:pos="7380"/>
        </w:tabs>
        <w:ind w:firstLine="709"/>
        <w:jc w:val="both"/>
      </w:pPr>
    </w:p>
    <w:p w:rsidR="00297071" w:rsidRPr="00CC5329" w:rsidRDefault="00AA58EF" w:rsidP="00AA58EF">
      <w:pPr>
        <w:tabs>
          <w:tab w:val="left" w:pos="7380"/>
        </w:tabs>
        <w:ind w:firstLine="709"/>
        <w:jc w:val="both"/>
      </w:pPr>
      <w:r>
        <w:t>4</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06211C" w:rsidRPr="00CC5329" w:rsidRDefault="00AA58EF" w:rsidP="0006211C">
      <w:pPr>
        <w:tabs>
          <w:tab w:val="left" w:pos="1080"/>
        </w:tabs>
        <w:ind w:firstLine="720"/>
        <w:jc w:val="both"/>
      </w:pPr>
      <w:r>
        <w:lastRenderedPageBreak/>
        <w:t>5</w:t>
      </w:r>
      <w:r w:rsidR="00B80309" w:rsidRPr="00CC5329">
        <w:t xml:space="preserve">. </w:t>
      </w:r>
      <w:r w:rsidR="00297071" w:rsidRPr="00297071">
        <w:t>Настоящее постановление вступает в силу после его официального опубликования (обнародования)</w:t>
      </w:r>
      <w:r w:rsidR="0006211C" w:rsidRPr="00CC5329">
        <w:t xml:space="preserve">. </w:t>
      </w:r>
    </w:p>
    <w:p w:rsidR="00830308" w:rsidRPr="00F952A3" w:rsidRDefault="00830308" w:rsidP="004D60C9">
      <w:pPr>
        <w:pStyle w:val="ConsNonformat"/>
        <w:jc w:val="both"/>
        <w:rPr>
          <w:rFonts w:ascii="Times New Roman" w:hAnsi="Times New Roman"/>
          <w:sz w:val="28"/>
          <w:szCs w:val="28"/>
        </w:rPr>
      </w:pPr>
    </w:p>
    <w:p w:rsidR="004D60C9" w:rsidRPr="00F952A3" w:rsidRDefault="004D60C9" w:rsidP="004D60C9">
      <w:pPr>
        <w:pStyle w:val="ConsNonformat"/>
        <w:jc w:val="both"/>
        <w:rPr>
          <w:rFonts w:ascii="Times New Roman" w:hAnsi="Times New Roman"/>
          <w:sz w:val="28"/>
          <w:szCs w:val="28"/>
        </w:rPr>
      </w:pPr>
    </w:p>
    <w:p w:rsidR="003A5D37" w:rsidRDefault="003A5D37" w:rsidP="003A5D37">
      <w:r>
        <w:t xml:space="preserve">Глава Минераловодского </w:t>
      </w:r>
    </w:p>
    <w:p w:rsidR="00C835A6" w:rsidRDefault="003A5D37" w:rsidP="00B25774">
      <w:r>
        <w:t xml:space="preserve">городского округа                                                          </w:t>
      </w:r>
      <w:r w:rsidR="0077506A">
        <w:t xml:space="preserve">                    С. Ю. Перцев</w:t>
      </w: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AA58EF" w:rsidRDefault="00AA58EF" w:rsidP="00C835A6">
      <w:pPr>
        <w:tabs>
          <w:tab w:val="left" w:pos="8609"/>
        </w:tabs>
        <w:suppressAutoHyphens/>
        <w:overflowPunct w:val="0"/>
        <w:autoSpaceDE w:val="0"/>
        <w:autoSpaceDN w:val="0"/>
        <w:adjustRightInd w:val="0"/>
        <w:ind w:left="4678"/>
      </w:pPr>
    </w:p>
    <w:p w:rsidR="00C835A6" w:rsidRPr="00C835A6" w:rsidRDefault="00C835A6" w:rsidP="00C835A6">
      <w:pPr>
        <w:tabs>
          <w:tab w:val="left" w:pos="8609"/>
        </w:tabs>
        <w:suppressAutoHyphens/>
        <w:overflowPunct w:val="0"/>
        <w:autoSpaceDE w:val="0"/>
        <w:autoSpaceDN w:val="0"/>
        <w:adjustRightInd w:val="0"/>
        <w:ind w:left="4678"/>
      </w:pPr>
      <w:r w:rsidRPr="00C835A6">
        <w:lastRenderedPageBreak/>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C835A6" w:rsidRPr="00C835A6" w:rsidRDefault="00C835A6" w:rsidP="00C835A6">
      <w:pPr>
        <w:tabs>
          <w:tab w:val="left" w:pos="8609"/>
        </w:tabs>
        <w:suppressAutoHyphens/>
        <w:overflowPunct w:val="0"/>
        <w:autoSpaceDE w:val="0"/>
        <w:autoSpaceDN w:val="0"/>
        <w:adjustRightInd w:val="0"/>
        <w:ind w:left="4678"/>
      </w:pPr>
      <w:r w:rsidRPr="00C835A6">
        <w:t>Минераловодского городского округа</w:t>
      </w:r>
    </w:p>
    <w:p w:rsidR="00C835A6" w:rsidRPr="00C835A6" w:rsidRDefault="00C835A6" w:rsidP="00C835A6">
      <w:pPr>
        <w:tabs>
          <w:tab w:val="left" w:pos="8609"/>
        </w:tabs>
        <w:suppressAutoHyphens/>
        <w:overflowPunct w:val="0"/>
        <w:autoSpaceDE w:val="0"/>
        <w:autoSpaceDN w:val="0"/>
        <w:adjustRightInd w:val="0"/>
        <w:ind w:left="4678"/>
      </w:pPr>
      <w:r w:rsidRPr="00C835A6">
        <w:t>от _______________ г. № __________</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Pr="00C835A6" w:rsidRDefault="00C835A6" w:rsidP="00C835A6">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Pr="00C835A6">
        <w:t xml:space="preserve"> (далее – Программа)</w:t>
      </w:r>
    </w:p>
    <w:p w:rsidR="00C835A6" w:rsidRPr="00C835A6" w:rsidRDefault="00C835A6" w:rsidP="00C835A6">
      <w:pPr>
        <w:widowControl w:val="0"/>
        <w:contextualSpacing/>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C835A6" w:rsidRPr="00C835A6" w:rsidRDefault="004B2E6C" w:rsidP="00C835A6">
      <w:pPr>
        <w:keepNext/>
        <w:keepLines/>
        <w:overflowPunct w:val="0"/>
        <w:autoSpaceDE w:val="0"/>
        <w:autoSpaceDN w:val="0"/>
        <w:adjustRightInd w:val="0"/>
        <w:ind w:firstLine="709"/>
        <w:jc w:val="both"/>
      </w:pPr>
      <w:r>
        <w:t>3</w:t>
      </w:r>
      <w:r w:rsidR="00C835A6" w:rsidRPr="00C835A6">
        <w:t xml:space="preserve">. Таблицу 3 Программы изложить в редакции согласно приложению </w:t>
      </w:r>
      <w:r w:rsidR="000E0D32">
        <w:t>3</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035CF0" w:rsidRDefault="00035CF0" w:rsidP="00757780">
      <w:pPr>
        <w:ind w:firstLine="4678"/>
      </w:pPr>
    </w:p>
    <w:p w:rsidR="00035CF0" w:rsidRDefault="00035CF0" w:rsidP="00757780">
      <w:pPr>
        <w:ind w:firstLine="4678"/>
      </w:pPr>
    </w:p>
    <w:p w:rsidR="00035CF0" w:rsidRDefault="00035CF0" w:rsidP="00757780">
      <w:pPr>
        <w:ind w:firstLine="4678"/>
      </w:pPr>
    </w:p>
    <w:p w:rsidR="00035CF0" w:rsidRDefault="00035CF0" w:rsidP="00757780">
      <w:pPr>
        <w:ind w:firstLine="4678"/>
      </w:pPr>
    </w:p>
    <w:p w:rsidR="0077506A" w:rsidRDefault="0077506A" w:rsidP="00757780">
      <w:pPr>
        <w:ind w:firstLine="4678"/>
      </w:pPr>
    </w:p>
    <w:p w:rsidR="00EB30C6" w:rsidRDefault="00EB30C6" w:rsidP="005517B8">
      <w:pPr>
        <w:ind w:firstLine="4820"/>
      </w:pPr>
    </w:p>
    <w:p w:rsidR="000E0D32" w:rsidRDefault="000E0D32" w:rsidP="00757780">
      <w:pPr>
        <w:ind w:firstLine="4678"/>
      </w:pPr>
    </w:p>
    <w:p w:rsidR="00757780" w:rsidRDefault="005517B8" w:rsidP="00757780">
      <w:pPr>
        <w:ind w:firstLine="4678"/>
      </w:pPr>
      <w:r>
        <w:lastRenderedPageBreak/>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BC744C">
              <w:rPr>
                <w:bCs/>
              </w:rPr>
              <w:t>6</w:t>
            </w:r>
            <w:r w:rsidR="000E0D32">
              <w:rPr>
                <w:bCs/>
              </w:rPr>
              <w:t>3</w:t>
            </w:r>
            <w:r w:rsidR="00BC744C">
              <w:rPr>
                <w:bCs/>
              </w:rPr>
              <w:t> 0</w:t>
            </w:r>
            <w:r w:rsidR="003B2F6D">
              <w:rPr>
                <w:bCs/>
              </w:rPr>
              <w:t>10,29</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6713B8" w:rsidRDefault="00E15F40" w:rsidP="00BE1FCE">
            <w:pPr>
              <w:ind w:firstLine="447"/>
              <w:jc w:val="both"/>
            </w:pPr>
            <w:r w:rsidRPr="006713B8">
              <w:t xml:space="preserve">бюджет Минераловодского городского округа – </w:t>
            </w:r>
            <w:r w:rsidR="00BC744C">
              <w:rPr>
                <w:bCs/>
              </w:rPr>
              <w:t>6</w:t>
            </w:r>
            <w:r w:rsidR="000E0D32">
              <w:rPr>
                <w:bCs/>
              </w:rPr>
              <w:t>3</w:t>
            </w:r>
            <w:r w:rsidR="00BC744C">
              <w:rPr>
                <w:bCs/>
              </w:rPr>
              <w:t> 0</w:t>
            </w:r>
            <w:r w:rsidR="003B2F6D">
              <w:rPr>
                <w:bCs/>
              </w:rPr>
              <w:t>10,29</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0E0D32">
              <w:rPr>
                <w:shd w:val="clear" w:color="auto" w:fill="FFFFFF"/>
              </w:rPr>
              <w:t>12</w:t>
            </w:r>
            <w:r w:rsidR="003B2F6D">
              <w:rPr>
                <w:shd w:val="clear" w:color="auto" w:fill="FFFFFF"/>
              </w:rPr>
              <w:t> 245,66</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63772D">
              <w:t>8 383,55</w:t>
            </w:r>
            <w:r w:rsidRPr="006713B8">
              <w:rPr>
                <w:shd w:val="clear" w:color="auto" w:fill="FFFFFF"/>
              </w:rPr>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63772D">
              <w:rPr>
                <w:szCs w:val="28"/>
              </w:rPr>
              <w:t>8 383,55</w:t>
            </w:r>
            <w:r w:rsidRPr="006713B8">
              <w:rPr>
                <w:szCs w:val="28"/>
                <w:shd w:val="clear" w:color="auto" w:fill="FFFFFF"/>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Pr="006713B8">
              <w:rPr>
                <w:shd w:val="clear" w:color="auto" w:fill="FFFFFF"/>
              </w:rPr>
              <w:t xml:space="preserve">11 332,51 </w:t>
            </w:r>
            <w:r w:rsidRPr="006713B8">
              <w:t>тыс. рублей;</w:t>
            </w:r>
          </w:p>
          <w:p w:rsidR="00E15F40" w:rsidRPr="006713B8" w:rsidRDefault="00E15F40" w:rsidP="007405A5">
            <w:pPr>
              <w:snapToGrid w:val="0"/>
              <w:jc w:val="both"/>
            </w:pPr>
            <w:r w:rsidRPr="006713B8">
              <w:t xml:space="preserve">      2024 год – </w:t>
            </w:r>
            <w:r w:rsidRPr="006713B8">
              <w:rPr>
                <w:shd w:val="clear" w:color="auto" w:fill="FFFFFF"/>
              </w:rPr>
              <w:t xml:space="preserve">11 332,51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Default="000612D1" w:rsidP="000612D1">
            <w:pPr>
              <w:pStyle w:val="ad"/>
              <w:ind w:right="-1"/>
              <w:jc w:val="both"/>
            </w:pPr>
            <w:r>
              <w:t xml:space="preserve">- </w:t>
            </w:r>
            <w:r w:rsidR="00767729">
              <w:t>ежегодное (с 2020 по 2025 год) сохранение</w:t>
            </w:r>
            <w:r>
              <w:t xml:space="preserve"> объема ввода жилищного строительства на территории Минераловодского городского округа (ввода в действие жилых домов)</w:t>
            </w:r>
            <w:r w:rsidR="00767729">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t xml:space="preserve">- </w:t>
            </w:r>
            <w:r w:rsidR="00767729">
              <w:t xml:space="preserve">ежегодное (с 2020 по 2025 год) сохранение </w:t>
            </w:r>
            <w:r>
              <w:t xml:space="preserve">ввода жилья в многоквартирных домах на территории Минераловодского городского округа </w:t>
            </w:r>
            <w:r w:rsidR="00767729">
              <w:t>не менее 2,196 тысяч квадратных метров</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                     №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lastRenderedPageBreak/>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lastRenderedPageBreak/>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207CB">
        <w:rPr>
          <w:rFonts w:eastAsiaTheme="minorHAnsi"/>
          <w:lang w:eastAsia="en-US"/>
        </w:rPr>
        <w:t xml:space="preserve"> </w:t>
      </w:r>
      <w:r w:rsidRPr="00BB2A2C">
        <w:rPr>
          <w:rFonts w:eastAsiaTheme="minorHAnsi"/>
          <w:lang w:eastAsia="en-US"/>
        </w:rPr>
        <w:t xml:space="preserve"> </w:t>
      </w:r>
      <w:r w:rsidR="004207CB">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09112F"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(приведена в приложении 1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9B3BC5" w:rsidP="00DA16E5">
      <w:pPr>
        <w:autoSpaceDE w:val="0"/>
        <w:autoSpaceDN w:val="0"/>
        <w:adjustRightInd w:val="0"/>
        <w:ind w:firstLine="540"/>
        <w:jc w:val="both"/>
        <w:outlineLvl w:val="0"/>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151D13" w:rsidRDefault="00151D13"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Pr="00B43E7D" w:rsidRDefault="00611310" w:rsidP="006A30CD">
      <w:pPr>
        <w:autoSpaceDE w:val="0"/>
        <w:autoSpaceDN w:val="0"/>
        <w:adjustRightInd w:val="0"/>
        <w:jc w:val="both"/>
        <w:rPr>
          <w:rFonts w:eastAsiaTheme="minorHAnsi"/>
          <w:lang w:eastAsia="en-US"/>
        </w:rPr>
      </w:pPr>
    </w:p>
    <w:p w:rsidR="00E2468E" w:rsidRPr="00B43E7D" w:rsidRDefault="00E2468E" w:rsidP="006A30CD">
      <w:pPr>
        <w:autoSpaceDE w:val="0"/>
        <w:autoSpaceDN w:val="0"/>
        <w:adjustRightInd w:val="0"/>
        <w:jc w:val="both"/>
        <w:rPr>
          <w:rFonts w:eastAsiaTheme="minorHAnsi"/>
          <w:lang w:eastAsia="en-US"/>
        </w:rPr>
      </w:pPr>
    </w:p>
    <w:p w:rsidR="00E2468E" w:rsidRDefault="00E2468E" w:rsidP="006A30CD">
      <w:pPr>
        <w:autoSpaceDE w:val="0"/>
        <w:autoSpaceDN w:val="0"/>
        <w:adjustRightInd w:val="0"/>
        <w:jc w:val="both"/>
        <w:rPr>
          <w:rFonts w:eastAsiaTheme="minorHAnsi"/>
          <w:lang w:eastAsia="en-US"/>
        </w:rPr>
      </w:pPr>
    </w:p>
    <w:p w:rsidR="00B37193" w:rsidRDefault="00B371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B12E5A" w:rsidRDefault="00B12E5A" w:rsidP="006A30CD">
      <w:pPr>
        <w:autoSpaceDE w:val="0"/>
        <w:autoSpaceDN w:val="0"/>
        <w:adjustRightInd w:val="0"/>
        <w:jc w:val="both"/>
        <w:rPr>
          <w:rFonts w:eastAsiaTheme="minorHAnsi"/>
          <w:lang w:eastAsia="en-US"/>
        </w:rPr>
      </w:pPr>
    </w:p>
    <w:p w:rsidR="00581A47" w:rsidRDefault="00581A47"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A96372" w:rsidRDefault="00A96372" w:rsidP="009F7718">
      <w:pPr>
        <w:ind w:left="4678"/>
        <w:rPr>
          <w:rFonts w:eastAsiaTheme="minorHAnsi"/>
          <w:lang w:eastAsia="en-US"/>
        </w:rPr>
      </w:pPr>
    </w:p>
    <w:p w:rsidR="008E3094" w:rsidRDefault="00EE2842" w:rsidP="009F7718">
      <w:pPr>
        <w:ind w:left="4678"/>
        <w:rPr>
          <w:rFonts w:eastAsiaTheme="minorHAnsi"/>
          <w:lang w:eastAsia="en-US"/>
        </w:rPr>
      </w:pPr>
      <w:r>
        <w:rPr>
          <w:rFonts w:eastAsiaTheme="minorHAnsi"/>
          <w:lang w:eastAsia="en-US"/>
        </w:rPr>
        <w:lastRenderedPageBreak/>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 xml:space="preserve">к изменениям, которые вносятся в муниципальную программу Минераловодского городского </w:t>
      </w:r>
      <w:proofErr w:type="gramStart"/>
      <w:r w:rsidRPr="005517B8">
        <w:rPr>
          <w:rFonts w:eastAsiaTheme="minorHAnsi"/>
          <w:lang w:eastAsia="en-US"/>
        </w:rPr>
        <w:t>округа  «</w:t>
      </w:r>
      <w:proofErr w:type="gramEnd"/>
      <w:r w:rsidRPr="005517B8">
        <w:rPr>
          <w:rFonts w:eastAsiaTheme="minorHAnsi"/>
          <w:lang w:eastAsia="en-US"/>
        </w:rPr>
        <w:t>Развитие градостроительства, строительства и архитектуры»</w:t>
      </w:r>
    </w:p>
    <w:p w:rsidR="00712B2F" w:rsidRPr="00B43E7D" w:rsidRDefault="00712B2F" w:rsidP="002761E4"/>
    <w:p w:rsidR="006115FF" w:rsidRPr="00B43E7D" w:rsidRDefault="006115FF"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8748E0"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pP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8748E0"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w:t>
            </w:r>
            <w:r w:rsidR="0044496B" w:rsidRPr="0044496B">
              <w:lastRenderedPageBreak/>
              <w:t xml:space="preserve">муниципальных </w:t>
            </w:r>
            <w:r w:rsidR="0044496B">
              <w:t>услуг для граждан и организаций;</w:t>
            </w:r>
          </w:p>
          <w:p w:rsidR="008748E0" w:rsidRPr="00B43E7D" w:rsidRDefault="008748E0" w:rsidP="00570C70">
            <w:pPr>
              <w:jc w:val="both"/>
            </w:pPr>
          </w:p>
        </w:tc>
      </w:tr>
      <w:tr w:rsidR="00C20915" w:rsidRPr="00B43E7D" w:rsidTr="00147888">
        <w:trPr>
          <w:trHeight w:val="1288"/>
        </w:trPr>
        <w:tc>
          <w:tcPr>
            <w:tcW w:w="3187" w:type="dxa"/>
          </w:tcPr>
          <w:p w:rsidR="00C20915" w:rsidRPr="00B43E7D" w:rsidRDefault="00C20915" w:rsidP="00C20915">
            <w:r w:rsidRPr="00B43E7D">
              <w:lastRenderedPageBreak/>
              <w:t>Показатели решения задач Подпрограммы:</w:t>
            </w:r>
          </w:p>
        </w:tc>
        <w:tc>
          <w:tcPr>
            <w:tcW w:w="6157" w:type="dxa"/>
          </w:tcPr>
          <w:p w:rsidR="00D45D29" w:rsidRDefault="00D45D29" w:rsidP="00D45D29">
            <w:pPr>
              <w:keepNext/>
              <w:keepLines/>
              <w:widowControl w:val="0"/>
              <w:jc w:val="both"/>
            </w:pPr>
            <w:r>
              <w:t xml:space="preserve">количество </w:t>
            </w:r>
            <w:r w:rsidR="00AA0214">
              <w:t xml:space="preserve">внесенных изменений в </w:t>
            </w:r>
            <w:r>
              <w:t>утвержденны</w:t>
            </w:r>
            <w:r w:rsidR="00AA0214">
              <w:t>е</w:t>
            </w:r>
            <w:r>
              <w:t xml:space="preserve"> документ</w:t>
            </w:r>
            <w:r w:rsidR="00AA0214">
              <w:t>ы</w:t>
            </w:r>
            <w:r>
              <w:t xml:space="preserve"> территориального планирования;</w:t>
            </w:r>
          </w:p>
          <w:p w:rsidR="00D45D29" w:rsidRDefault="00D45D29" w:rsidP="00D45D29">
            <w:pPr>
              <w:keepNext/>
              <w:keepLines/>
              <w:widowControl w:val="0"/>
              <w:jc w:val="both"/>
            </w:pPr>
          </w:p>
          <w:p w:rsidR="00D45D29" w:rsidRDefault="00F36D34" w:rsidP="00D45D29">
            <w:pPr>
              <w:keepNext/>
              <w:keepLines/>
              <w:widowControl w:val="0"/>
              <w:jc w:val="both"/>
            </w:pPr>
            <w:r w:rsidRPr="00F36D34">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t>;</w:t>
            </w:r>
          </w:p>
          <w:p w:rsidR="008C217F" w:rsidRDefault="008C217F" w:rsidP="00D45D29">
            <w:pPr>
              <w:keepNext/>
              <w:keepLines/>
              <w:widowControl w:val="0"/>
              <w:jc w:val="both"/>
            </w:pPr>
          </w:p>
          <w:p w:rsidR="008C217F" w:rsidRDefault="008C217F" w:rsidP="00D45D29">
            <w:pPr>
              <w:keepNext/>
              <w:keepLines/>
              <w:widowControl w:val="0"/>
              <w:jc w:val="both"/>
            </w:pPr>
            <w:r>
              <w:t>доля многоквартирных домов, расположенных на земельных участках, в отношении которых осуществлен государственный кадастровый учет;</w:t>
            </w:r>
          </w:p>
          <w:p w:rsidR="00D45D29" w:rsidRDefault="00D45D29" w:rsidP="00D45D29">
            <w:pPr>
              <w:keepNext/>
              <w:keepLines/>
              <w:widowControl w:val="0"/>
              <w:jc w:val="both"/>
            </w:pPr>
          </w:p>
          <w:p w:rsidR="00D45D29" w:rsidRDefault="00D45D29" w:rsidP="00D45D29">
            <w:pPr>
              <w:keepNext/>
              <w:keepLines/>
              <w:widowControl w:val="0"/>
              <w:jc w:val="both"/>
            </w:pPr>
            <w:r>
              <w:t>количество подготовленной технической документации на объекты недвижимости;</w:t>
            </w:r>
          </w:p>
          <w:p w:rsidR="007D031B" w:rsidRDefault="007D031B" w:rsidP="007D031B">
            <w:pPr>
              <w:keepNext/>
              <w:keepLines/>
              <w:widowControl w:val="0"/>
              <w:jc w:val="both"/>
            </w:pPr>
          </w:p>
          <w:p w:rsidR="007D031B" w:rsidRDefault="007D031B" w:rsidP="007D031B">
            <w:pPr>
              <w:keepNext/>
              <w:keepLines/>
              <w:widowControl w:val="0"/>
              <w:jc w:val="both"/>
            </w:pPr>
            <w:r>
              <w:t>доля поставленных на кадастровый учет территориальных зон Минераловодского городского округа;</w:t>
            </w:r>
          </w:p>
          <w:p w:rsidR="00D45D29" w:rsidRDefault="00D45D29" w:rsidP="00D45D29">
            <w:pPr>
              <w:keepNext/>
              <w:keepLines/>
              <w:widowControl w:val="0"/>
              <w:jc w:val="both"/>
            </w:pPr>
          </w:p>
          <w:p w:rsidR="007D031B" w:rsidRDefault="007D031B" w:rsidP="00D45D29">
            <w:pPr>
              <w:keepNext/>
              <w:keepLines/>
              <w:widowControl w:val="0"/>
              <w:jc w:val="both"/>
            </w:pPr>
            <w:r>
              <w:t>доля поставленных на кадастровый учет границ населенных пунктов</w:t>
            </w:r>
            <w:r w:rsidR="0004289C">
              <w:t xml:space="preserve"> Минераловодского городского округа</w:t>
            </w:r>
            <w:r>
              <w:t>;</w:t>
            </w:r>
          </w:p>
          <w:p w:rsidR="00926E20" w:rsidRDefault="00926E20" w:rsidP="00D45D29">
            <w:pPr>
              <w:keepNext/>
              <w:keepLines/>
              <w:widowControl w:val="0"/>
              <w:jc w:val="both"/>
            </w:pPr>
          </w:p>
          <w:p w:rsidR="00926E20" w:rsidRDefault="00926E20" w:rsidP="00D45D29">
            <w:pPr>
              <w:keepNext/>
              <w:keepLines/>
              <w:widowControl w:val="0"/>
              <w:jc w:val="both"/>
            </w:pPr>
            <w:r>
              <w:t>доля</w:t>
            </w:r>
            <w:r w:rsidRPr="002032F6">
              <w:t xml:space="preserve"> </w:t>
            </w:r>
            <w:r>
              <w:t>переведенных</w:t>
            </w:r>
            <w:r w:rsidRPr="002032F6">
              <w:t xml:space="preserve"> в электронный вид муниципальных услуг </w:t>
            </w:r>
            <w:r>
              <w:t>в общем количестве предоставляемых муниципальных услуг;</w:t>
            </w:r>
          </w:p>
          <w:p w:rsidR="002938CB" w:rsidRDefault="002938CB" w:rsidP="00D45D29">
            <w:pPr>
              <w:keepNext/>
              <w:keepLines/>
              <w:widowControl w:val="0"/>
              <w:jc w:val="both"/>
            </w:pPr>
          </w:p>
          <w:p w:rsidR="007D031B" w:rsidRDefault="007D031B" w:rsidP="007D031B">
            <w:pPr>
              <w:keepNext/>
              <w:keepLines/>
              <w:widowControl w:val="0"/>
              <w:jc w:val="both"/>
            </w:pPr>
            <w:r>
              <w:t>количество разработанных карт города Минеральные Воды;</w:t>
            </w:r>
          </w:p>
          <w:p w:rsidR="007D031B" w:rsidRDefault="007D031B" w:rsidP="00D45D29">
            <w:pPr>
              <w:keepNext/>
              <w:keepLines/>
              <w:widowControl w:val="0"/>
              <w:jc w:val="both"/>
            </w:pPr>
          </w:p>
          <w:p w:rsidR="00D45D29" w:rsidRDefault="009428D8" w:rsidP="00D45D29">
            <w:pPr>
              <w:keepNext/>
              <w:keepLines/>
              <w:widowControl w:val="0"/>
              <w:jc w:val="both"/>
            </w:pPr>
            <w:r>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r w:rsidR="00D45D29">
              <w:t>;</w:t>
            </w:r>
          </w:p>
          <w:p w:rsidR="00D45D29" w:rsidRDefault="00D45D29" w:rsidP="00D45D29">
            <w:pPr>
              <w:keepNext/>
              <w:keepLines/>
              <w:widowControl w:val="0"/>
              <w:jc w:val="both"/>
            </w:pPr>
          </w:p>
          <w:p w:rsidR="00D45D29" w:rsidRPr="00B43E7D" w:rsidRDefault="00D45D29" w:rsidP="00E81DE6">
            <w:pPr>
              <w:keepNext/>
              <w:keepLines/>
              <w:widowControl w:val="0"/>
              <w:jc w:val="both"/>
            </w:pPr>
            <w:r>
              <w:t xml:space="preserve">коэффициент внедрения </w:t>
            </w:r>
            <w:r w:rsidR="00B35DD6">
              <w:t xml:space="preserve">государственной </w:t>
            </w:r>
            <w:r>
              <w:t>информационной системы обеспечения</w:t>
            </w:r>
            <w:r w:rsidR="007D031B">
              <w:t xml:space="preserve"> гра</w:t>
            </w:r>
            <w:r w:rsidR="008F740E">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lastRenderedPageBreak/>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9814F0">
              <w:rPr>
                <w:rFonts w:ascii="Times New Roman" w:hAnsi="Times New Roman" w:cs="Times New Roman"/>
                <w:sz w:val="28"/>
                <w:szCs w:val="28"/>
              </w:rPr>
              <w:t>12</w:t>
            </w:r>
            <w:r w:rsidR="00AA5F19">
              <w:rPr>
                <w:rFonts w:ascii="Times New Roman" w:hAnsi="Times New Roman" w:cs="Times New Roman"/>
                <w:sz w:val="28"/>
                <w:szCs w:val="28"/>
              </w:rPr>
              <w:t xml:space="preserve"> 2</w:t>
            </w:r>
            <w:r w:rsidR="006336AF">
              <w:rPr>
                <w:rFonts w:ascii="Times New Roman" w:hAnsi="Times New Roman" w:cs="Times New Roman"/>
                <w:sz w:val="28"/>
                <w:szCs w:val="28"/>
              </w:rPr>
              <w:t>00</w:t>
            </w:r>
            <w:r w:rsidR="006336AF" w:rsidRPr="00A10F3E">
              <w:rPr>
                <w:rFonts w:ascii="Times New Roman" w:hAnsi="Times New Roman" w:cs="Times New Roman"/>
                <w:sz w:val="28"/>
                <w:szCs w:val="28"/>
              </w:rPr>
              <w:t xml:space="preserve">,00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9814F0">
              <w:t xml:space="preserve">12 200,00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0E0D32">
              <w:rPr>
                <w:shd w:val="clear" w:color="auto" w:fill="FFFFFF"/>
              </w:rPr>
              <w:t xml:space="preserve">3 </w:t>
            </w:r>
            <w:r>
              <w:rPr>
                <w:shd w:val="clear" w:color="auto" w:fill="FFFFFF"/>
              </w:rPr>
              <w:t>800,00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AA5F19">
              <w:rPr>
                <w:shd w:val="clear" w:color="auto" w:fill="FFFFFF"/>
              </w:rPr>
              <w:t xml:space="preserve"> </w:t>
            </w:r>
            <w:r w:rsidRPr="00A10F3E">
              <w:rPr>
                <w:shd w:val="clear" w:color="auto" w:fill="FFFFFF"/>
              </w:rPr>
              <w:t>0,00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Pr="00A10F3E">
              <w:rPr>
                <w:szCs w:val="28"/>
              </w:rPr>
              <w:t>0,00 тыс. рублей;</w:t>
            </w:r>
          </w:p>
          <w:p w:rsidR="006336AF" w:rsidRPr="00A10F3E" w:rsidRDefault="006336AF" w:rsidP="006336AF">
            <w:pPr>
              <w:tabs>
                <w:tab w:val="left" w:pos="900"/>
              </w:tabs>
              <w:suppressAutoHyphens/>
              <w:ind w:left="447"/>
              <w:jc w:val="both"/>
            </w:pPr>
            <w:r w:rsidRPr="00A10F3E">
              <w:t xml:space="preserve">2023 год – </w:t>
            </w:r>
            <w:r w:rsidRPr="00A10F3E">
              <w:rPr>
                <w:shd w:val="clear" w:color="auto" w:fill="FFFFFF"/>
              </w:rPr>
              <w:t>2 </w:t>
            </w:r>
            <w:r>
              <w:rPr>
                <w:shd w:val="clear" w:color="auto" w:fill="FFFFFF"/>
              </w:rPr>
              <w:t>8</w:t>
            </w:r>
            <w:r w:rsidRPr="00A10F3E">
              <w:rPr>
                <w:shd w:val="clear" w:color="auto" w:fill="FFFFFF"/>
              </w:rPr>
              <w:t xml:space="preserve">00,00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2</w:t>
            </w:r>
            <w:r w:rsidR="0096514F">
              <w:t>26,6</w:t>
            </w:r>
            <w:r>
              <w:t xml:space="preserve">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 до 100 процентов в 2020 году;</w:t>
            </w:r>
          </w:p>
          <w:p w:rsidR="00852334" w:rsidRDefault="00852334" w:rsidP="00852334">
            <w:pPr>
              <w:keepNext/>
              <w:keepLines/>
              <w:widowControl w:val="0"/>
              <w:jc w:val="both"/>
            </w:pPr>
          </w:p>
          <w:p w:rsidR="00852334" w:rsidRDefault="00852334" w:rsidP="00852334">
            <w:r w:rsidRPr="00852334">
              <w:t>-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100 процентов в 2020 году;</w:t>
            </w:r>
          </w:p>
          <w:p w:rsidR="00852334" w:rsidRPr="00852334" w:rsidRDefault="00852334" w:rsidP="00852334"/>
          <w:p w:rsidR="00852334" w:rsidRDefault="00852334" w:rsidP="00852334">
            <w:r w:rsidRPr="00852334">
              <w:lastRenderedPageBreak/>
              <w:t>- увеличение количества переведенных в электронный вид предоставляемых муниципальных услуг до 21 единицы к 2025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Минеральные Воды составит 1 единицу в 2022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912B3C">
              <w:t>5</w:t>
            </w:r>
            <w:r>
              <w:t>00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увеличение коэффициента внедрения государственной информационной системы обеспечения градостроительной деятельности до 100 процентов к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муниципальных услуг в электронный вид.</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lastRenderedPageBreak/>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D406F7">
        <w:t>226,6</w:t>
      </w:r>
      <w:r w:rsidR="008260AC">
        <w:t xml:space="preserve"> гектарах к </w:t>
      </w:r>
      <w:r>
        <w:t>2025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066091">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01.06.2020</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2021</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01.06.2020</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2021</w:t>
      </w:r>
      <w:r w:rsidR="005500DB">
        <w:t>;</w:t>
      </w:r>
    </w:p>
    <w:p w:rsidR="0094687A" w:rsidRPr="00B43E7D" w:rsidRDefault="0094687A" w:rsidP="0094687A">
      <w:pPr>
        <w:ind w:firstLine="540"/>
        <w:jc w:val="both"/>
        <w:rPr>
          <w:color w:val="000000"/>
        </w:rPr>
      </w:pPr>
      <w:r>
        <w:rPr>
          <w:color w:val="000000"/>
        </w:rPr>
        <w:t>- переведение в электронный вид 2</w:t>
      </w:r>
      <w:r w:rsidR="002B611E">
        <w:rPr>
          <w:color w:val="000000"/>
        </w:rPr>
        <w:t>1</w:t>
      </w:r>
      <w:r>
        <w:rPr>
          <w:color w:val="000000"/>
        </w:rPr>
        <w:t xml:space="preserve"> муниципальн</w:t>
      </w:r>
      <w:r w:rsidR="002B611E">
        <w:rPr>
          <w:color w:val="000000"/>
        </w:rPr>
        <w:t>ой</w:t>
      </w:r>
      <w:r>
        <w:rPr>
          <w:color w:val="000000"/>
        </w:rPr>
        <w:t xml:space="preserve"> услуг</w:t>
      </w:r>
      <w:r w:rsidR="002B611E">
        <w:rPr>
          <w:color w:val="000000"/>
        </w:rPr>
        <w:t>и</w:t>
      </w:r>
      <w:r>
        <w:rPr>
          <w:color w:val="000000"/>
        </w:rPr>
        <w:t xml:space="preserve"> к 2025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lastRenderedPageBreak/>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7E6DFC">
        <w:t>5</w:t>
      </w:r>
      <w:r w:rsidR="00E3630E">
        <w:t>00 гектар</w:t>
      </w:r>
      <w:r>
        <w:t xml:space="preserve"> к 20</w:t>
      </w:r>
      <w:r w:rsidR="00651074">
        <w:t>25</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100 процентов к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567BC9">
          <w:headerReference w:type="first" r:id="rId9"/>
          <w:pgSz w:w="11906" w:h="16838"/>
          <w:pgMar w:top="1134" w:right="707" w:bottom="1134" w:left="1560"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611310" w:rsidRDefault="00611310" w:rsidP="003F2774">
      <w:pPr>
        <w:autoSpaceDE w:val="0"/>
        <w:autoSpaceDN w:val="0"/>
        <w:adjustRightInd w:val="0"/>
        <w:outlineLvl w:val="0"/>
        <w:rPr>
          <w:rFonts w:eastAsiaTheme="minorHAnsi"/>
          <w:lang w:eastAsia="en-US"/>
        </w:rPr>
      </w:pPr>
    </w:p>
    <w:p w:rsidR="00611310" w:rsidRDefault="00611310" w:rsidP="003F2774">
      <w:pPr>
        <w:autoSpaceDE w:val="0"/>
        <w:autoSpaceDN w:val="0"/>
        <w:adjustRightInd w:val="0"/>
        <w:outlineLvl w:val="0"/>
        <w:rPr>
          <w:rFonts w:eastAsiaTheme="minorHAnsi"/>
          <w:lang w:eastAsia="en-US"/>
        </w:rPr>
      </w:pPr>
    </w:p>
    <w:p w:rsidR="00382725" w:rsidRPr="00B43E7D" w:rsidRDefault="00382725" w:rsidP="00382725">
      <w:pPr>
        <w:autoSpaceDE w:val="0"/>
        <w:autoSpaceDN w:val="0"/>
        <w:adjustRightInd w:val="0"/>
        <w:ind w:firstLine="9923"/>
        <w:outlineLvl w:val="0"/>
        <w:rPr>
          <w:rFonts w:eastAsiaTheme="minorHAnsi"/>
          <w:lang w:eastAsia="en-US"/>
        </w:rPr>
      </w:pPr>
      <w:r w:rsidRPr="00B43E7D">
        <w:rPr>
          <w:rFonts w:eastAsiaTheme="minorHAnsi"/>
          <w:lang w:eastAsia="en-US"/>
        </w:rPr>
        <w:t xml:space="preserve">Приложение </w:t>
      </w:r>
      <w:r w:rsidR="000E0D32">
        <w:rPr>
          <w:rFonts w:eastAsiaTheme="minorHAnsi"/>
          <w:lang w:eastAsia="en-US"/>
        </w:rPr>
        <w:t>3</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382725" w:rsidRDefault="00382725" w:rsidP="00382725">
      <w:pPr>
        <w:autoSpaceDE w:val="0"/>
        <w:autoSpaceDN w:val="0"/>
        <w:adjustRightInd w:val="0"/>
        <w:ind w:firstLine="9923"/>
        <w:rPr>
          <w:rFonts w:eastAsiaTheme="minorHAnsi"/>
          <w:lang w:eastAsia="en-US"/>
        </w:rPr>
      </w:pP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382725">
      <w:pPr>
        <w:autoSpaceDE w:val="0"/>
        <w:autoSpaceDN w:val="0"/>
        <w:adjustRightInd w:val="0"/>
        <w:ind w:firstLine="4678"/>
        <w:rPr>
          <w:rFonts w:eastAsiaTheme="minorHAnsi"/>
          <w:lang w:eastAsia="en-US"/>
        </w:rPr>
      </w:pPr>
      <w:r w:rsidRPr="00B43E7D">
        <w:rPr>
          <w:rFonts w:eastAsiaTheme="minorHAnsi"/>
          <w:lang w:eastAsia="en-US"/>
        </w:rPr>
        <w:t xml:space="preserve">  </w:t>
      </w:r>
    </w:p>
    <w:p w:rsidR="00382725" w:rsidRPr="00B43E7D" w:rsidRDefault="00382725" w:rsidP="00382725">
      <w:pPr>
        <w:autoSpaceDE w:val="0"/>
        <w:autoSpaceDN w:val="0"/>
        <w:adjustRightInd w:val="0"/>
        <w:ind w:firstLine="540"/>
        <w:jc w:val="both"/>
        <w:rPr>
          <w:rFonts w:eastAsiaTheme="minorHAnsi"/>
          <w:lang w:eastAsia="en-US"/>
        </w:rPr>
      </w:pP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Объемы финансового обеспечения по годам</w:t>
            </w:r>
            <w:r w:rsidRPr="00B43E7D">
              <w:rPr>
                <w:sz w:val="22"/>
                <w:szCs w:val="22"/>
              </w:rPr>
              <w:b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B2F6D" w:rsidP="003B2F6D">
            <w:pPr>
              <w:rPr>
                <w:b/>
                <w:sz w:val="22"/>
                <w:szCs w:val="22"/>
              </w:rPr>
            </w:pPr>
            <w:r>
              <w:rPr>
                <w:b/>
                <w:sz w:val="22"/>
                <w:szCs w:val="22"/>
              </w:rPr>
              <w:t>12</w:t>
            </w:r>
            <w:r w:rsidR="00F229E5">
              <w:rPr>
                <w:b/>
                <w:sz w:val="22"/>
                <w:szCs w:val="22"/>
              </w:rPr>
              <w:t> 24</w:t>
            </w:r>
            <w:r>
              <w:rPr>
                <w:b/>
                <w:sz w:val="22"/>
                <w:szCs w:val="22"/>
              </w:rPr>
              <w:t>5,66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47067C" w:rsidP="00806BF2">
            <w:pPr>
              <w:rPr>
                <w:b/>
                <w:sz w:val="22"/>
                <w:szCs w:val="22"/>
              </w:rPr>
            </w:pPr>
            <w:r>
              <w:rPr>
                <w:b/>
                <w:sz w:val="22"/>
                <w:szCs w:val="22"/>
              </w:rPr>
              <w:t>8</w:t>
            </w:r>
            <w:r w:rsidR="00806BF2">
              <w:rPr>
                <w:b/>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806BF2" w:rsidP="00790F18">
            <w:pPr>
              <w:rPr>
                <w:b/>
                <w:sz w:val="22"/>
                <w:szCs w:val="22"/>
              </w:rPr>
            </w:pPr>
            <w:r>
              <w:rPr>
                <w:b/>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B2F6D" w:rsidP="00B46C92">
            <w:pPr>
              <w:rPr>
                <w:sz w:val="22"/>
                <w:szCs w:val="22"/>
              </w:rPr>
            </w:pPr>
            <w:r>
              <w:rPr>
                <w:sz w:val="22"/>
                <w:szCs w:val="22"/>
              </w:rPr>
              <w:t>12</w:t>
            </w:r>
            <w:r w:rsidR="00F229E5">
              <w:rPr>
                <w:sz w:val="22"/>
                <w:szCs w:val="22"/>
              </w:rPr>
              <w:t> 24</w:t>
            </w:r>
            <w:r w:rsidR="00B46C92">
              <w:rPr>
                <w:sz w:val="22"/>
                <w:szCs w:val="22"/>
              </w:rPr>
              <w:t>5,66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47067C" w:rsidP="00806BF2">
            <w:pPr>
              <w:rPr>
                <w:sz w:val="22"/>
                <w:szCs w:val="22"/>
              </w:rPr>
            </w:pPr>
            <w:r>
              <w:rPr>
                <w:sz w:val="22"/>
                <w:szCs w:val="22"/>
              </w:rPr>
              <w:t>8 </w:t>
            </w:r>
            <w:r w:rsidR="00806BF2">
              <w:rPr>
                <w:sz w:val="22"/>
                <w:szCs w:val="22"/>
              </w:rPr>
              <w:t>383</w:t>
            </w:r>
            <w:r>
              <w:rPr>
                <w:sz w:val="22"/>
                <w:szCs w:val="22"/>
              </w:rPr>
              <w:t>,</w:t>
            </w:r>
            <w:r w:rsidR="00806BF2">
              <w:rPr>
                <w:sz w:val="22"/>
                <w:szCs w:val="22"/>
              </w:rPr>
              <w:t>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806BF2" w:rsidP="00790F18">
            <w:pPr>
              <w:rPr>
                <w:sz w:val="22"/>
                <w:szCs w:val="22"/>
              </w:rPr>
            </w:pPr>
            <w:r w:rsidRPr="00806BF2">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46C92" w:rsidP="00790F18">
            <w:pPr>
              <w:jc w:val="center"/>
              <w:rPr>
                <w:sz w:val="22"/>
                <w:szCs w:val="22"/>
              </w:rPr>
            </w:pPr>
            <w:r w:rsidRPr="00B46C92">
              <w:rPr>
                <w:sz w:val="22"/>
                <w:szCs w:val="22"/>
              </w:rPr>
              <w:t>12 245,66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rPr>
                <w:sz w:val="22"/>
                <w:szCs w:val="22"/>
              </w:rPr>
            </w:pPr>
            <w:r w:rsidRPr="00806BF2">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sidRPr="00806BF2">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выпадающие доходы местного бюджета в результате применения </w:t>
            </w:r>
            <w:r w:rsidRPr="00706581">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B2F6D" w:rsidP="00790F18">
            <w:pPr>
              <w:jc w:val="center"/>
              <w:outlineLvl w:val="2"/>
              <w:rPr>
                <w:b/>
                <w:sz w:val="22"/>
                <w:szCs w:val="22"/>
              </w:rPr>
            </w:pPr>
            <w:r>
              <w:rPr>
                <w:b/>
                <w:sz w:val="22"/>
                <w:szCs w:val="22"/>
              </w:rPr>
              <w:t xml:space="preserve">3 </w:t>
            </w:r>
            <w:r w:rsidR="00382725">
              <w:rPr>
                <w:b/>
                <w:sz w:val="22"/>
                <w:szCs w:val="22"/>
              </w:rPr>
              <w:t>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 </w:t>
            </w:r>
            <w:r w:rsidR="003B2F6D">
              <w:rPr>
                <w:sz w:val="22"/>
                <w:szCs w:val="22"/>
              </w:rPr>
              <w:t xml:space="preserve">3 </w:t>
            </w:r>
            <w:r>
              <w:rPr>
                <w:sz w:val="22"/>
                <w:szCs w:val="22"/>
              </w:rPr>
              <w:t>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B2F6D" w:rsidP="003B2F6D">
            <w:pPr>
              <w:jc w:val="center"/>
              <w:outlineLvl w:val="2"/>
              <w:rPr>
                <w:sz w:val="22"/>
                <w:szCs w:val="22"/>
              </w:rPr>
            </w:pPr>
            <w:r>
              <w:rPr>
                <w:sz w:val="22"/>
                <w:szCs w:val="22"/>
              </w:rPr>
              <w:t xml:space="preserve">3 </w:t>
            </w:r>
            <w:r w:rsidR="00382725">
              <w:rPr>
                <w:sz w:val="22"/>
                <w:szCs w:val="22"/>
              </w:rPr>
              <w:t>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DB5484"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B2F6D" w:rsidP="00790F18">
            <w:pPr>
              <w:jc w:val="center"/>
              <w:outlineLvl w:val="2"/>
              <w:rPr>
                <w:b/>
                <w:sz w:val="22"/>
                <w:szCs w:val="22"/>
              </w:rPr>
            </w:pPr>
            <w:r>
              <w:rPr>
                <w:b/>
                <w:sz w:val="22"/>
                <w:szCs w:val="22"/>
              </w:rPr>
              <w:t>3</w:t>
            </w:r>
            <w:r w:rsidR="00382725">
              <w:rPr>
                <w:b/>
                <w:sz w:val="22"/>
                <w:szCs w:val="22"/>
              </w:rPr>
              <w:t>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21087" w:rsidP="00790F18">
            <w:pPr>
              <w:jc w:val="center"/>
              <w:outlineLvl w:val="2"/>
              <w:rPr>
                <w:sz w:val="22"/>
                <w:szCs w:val="22"/>
              </w:rPr>
            </w:pPr>
            <w:r>
              <w:rPr>
                <w:sz w:val="22"/>
                <w:szCs w:val="22"/>
              </w:rPr>
              <w:t xml:space="preserve">3 </w:t>
            </w:r>
            <w:r w:rsidR="00382725">
              <w:rPr>
                <w:sz w:val="22"/>
                <w:szCs w:val="22"/>
              </w:rPr>
              <w:t>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21087" w:rsidP="00790F18">
            <w:pPr>
              <w:jc w:val="center"/>
              <w:outlineLvl w:val="2"/>
              <w:rPr>
                <w:sz w:val="22"/>
                <w:szCs w:val="22"/>
              </w:rPr>
            </w:pPr>
            <w:r>
              <w:rPr>
                <w:sz w:val="22"/>
                <w:szCs w:val="22"/>
              </w:rPr>
              <w:t xml:space="preserve">3 </w:t>
            </w:r>
            <w:r w:rsidR="00382725">
              <w:rPr>
                <w:sz w:val="22"/>
                <w:szCs w:val="22"/>
              </w:rPr>
              <w:t>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DB5484"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FA103F" w:rsidP="00FA103F">
            <w:pPr>
              <w:rPr>
                <w:sz w:val="22"/>
                <w:szCs w:val="22"/>
              </w:rPr>
            </w:pPr>
            <w:r w:rsidRPr="00FA103F">
              <w:rPr>
                <w:sz w:val="22"/>
                <w:szCs w:val="22"/>
              </w:rPr>
              <w:t>Разработка генерального плана, правил</w:t>
            </w:r>
            <w:r w:rsidR="00382725">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outlineLvl w:val="2"/>
              <w:rPr>
                <w:sz w:val="22"/>
                <w:szCs w:val="22"/>
              </w:rPr>
            </w:pPr>
            <w:r>
              <w:rPr>
                <w:sz w:val="22"/>
                <w:szCs w:val="22"/>
              </w:rPr>
              <w:t>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outlineLvl w:val="2"/>
              <w:rPr>
                <w:sz w:val="22"/>
                <w:szCs w:val="22"/>
              </w:rPr>
            </w:pPr>
            <w:r>
              <w:rPr>
                <w:sz w:val="22"/>
                <w:szCs w:val="22"/>
              </w:rPr>
              <w:t>0</w:t>
            </w:r>
            <w:r w:rsidR="00382725"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57D8"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57D8"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1004" w:rsidRDefault="00491004" w:rsidP="00790F18">
            <w:pPr>
              <w:jc w:val="center"/>
              <w:rPr>
                <w:sz w:val="22"/>
                <w:szCs w:val="22"/>
              </w:rPr>
            </w:pPr>
          </w:p>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8</w:t>
            </w:r>
            <w:r w:rsidR="00382725" w:rsidRPr="00F229E5">
              <w:rPr>
                <w:sz w:val="22"/>
                <w:szCs w:val="22"/>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pPr>
            <w:r>
              <w:rPr>
                <w:sz w:val="22"/>
                <w:szCs w:val="22"/>
              </w:rPr>
              <w:t>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pPr>
            <w:r>
              <w:rPr>
                <w:sz w:val="22"/>
                <w:szCs w:val="22"/>
              </w:rPr>
              <w:t>0</w:t>
            </w:r>
            <w:r w:rsidR="00382725"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8</w:t>
            </w:r>
            <w:r w:rsidR="00382725" w:rsidRPr="00706581">
              <w:rPr>
                <w:sz w:val="22"/>
                <w:szCs w:val="22"/>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806BF2" w:rsidP="00806BF2">
            <w:pPr>
              <w:jc w:val="cente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806BF2" w:rsidP="00806BF2">
            <w:pPr>
              <w:jc w:val="cente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8</w:t>
            </w:r>
            <w:r w:rsidR="00382725" w:rsidRPr="00706581">
              <w:rPr>
                <w:sz w:val="22"/>
                <w:szCs w:val="22"/>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E291F" w:rsidP="00790F18">
            <w:pPr>
              <w:jc w:val="cente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E291F" w:rsidP="00790F18">
            <w:pPr>
              <w:jc w:val="cente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lastRenderedPageBreak/>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B2F6D" w:rsidP="00790F18">
            <w:pPr>
              <w:jc w:val="center"/>
              <w:outlineLvl w:val="2"/>
              <w:rPr>
                <w:sz w:val="22"/>
                <w:szCs w:val="22"/>
              </w:rPr>
            </w:pPr>
            <w:r>
              <w:rPr>
                <w:sz w:val="22"/>
                <w:szCs w:val="22"/>
              </w:rPr>
              <w:t>2 000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B2F6D" w:rsidP="00790F18">
            <w:pPr>
              <w:jc w:val="center"/>
              <w:outlineLvl w:val="2"/>
              <w:rPr>
                <w:sz w:val="22"/>
                <w:szCs w:val="22"/>
              </w:rPr>
            </w:pPr>
            <w:r>
              <w:rPr>
                <w:sz w:val="22"/>
                <w:szCs w:val="22"/>
              </w:rPr>
              <w:t>2 00</w:t>
            </w:r>
            <w:r w:rsidR="00FF4347">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B2F6D" w:rsidP="00790F18">
            <w:pPr>
              <w:jc w:val="center"/>
              <w:outlineLvl w:val="2"/>
              <w:rPr>
                <w:sz w:val="22"/>
                <w:szCs w:val="22"/>
              </w:rPr>
            </w:pPr>
            <w:r>
              <w:rPr>
                <w:sz w:val="22"/>
                <w:szCs w:val="22"/>
              </w:rPr>
              <w:t>2 00</w:t>
            </w:r>
            <w:r w:rsidR="00FF4347">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 xml:space="preserve">выпадающие доходы местного </w:t>
            </w:r>
            <w:r w:rsidRPr="00706581">
              <w:rPr>
                <w:rFonts w:ascii="Times New Roman" w:hAnsi="Times New Roman" w:cs="Times New Roman"/>
                <w:szCs w:val="22"/>
              </w:rPr>
              <w:lastRenderedPageBreak/>
              <w:t>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lastRenderedPageBreak/>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границ 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B2F6D" w:rsidP="00790F18">
            <w:pPr>
              <w:jc w:val="center"/>
              <w:outlineLvl w:val="2"/>
              <w:rPr>
                <w:sz w:val="22"/>
                <w:szCs w:val="22"/>
              </w:rPr>
            </w:pPr>
            <w:r>
              <w:rPr>
                <w:sz w:val="22"/>
                <w:szCs w:val="22"/>
              </w:rPr>
              <w:t>1 00</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B2F6D" w:rsidP="00790F18">
            <w:pPr>
              <w:jc w:val="center"/>
              <w:outlineLvl w:val="2"/>
              <w:rPr>
                <w:sz w:val="22"/>
                <w:szCs w:val="22"/>
              </w:rPr>
            </w:pPr>
            <w:r>
              <w:rPr>
                <w:sz w:val="22"/>
                <w:szCs w:val="22"/>
              </w:rPr>
              <w:t>1 00</w:t>
            </w:r>
            <w:r w:rsidR="00FF4347">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B2F6D" w:rsidP="00790F18">
            <w:pPr>
              <w:jc w:val="center"/>
              <w:outlineLvl w:val="2"/>
              <w:rPr>
                <w:sz w:val="22"/>
                <w:szCs w:val="22"/>
              </w:rPr>
            </w:pPr>
            <w:r>
              <w:rPr>
                <w:sz w:val="22"/>
                <w:szCs w:val="22"/>
              </w:rPr>
              <w:t>1 00</w:t>
            </w:r>
            <w:r w:rsidR="00FF4347">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поступление  средств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sz w:val="22"/>
                <w:szCs w:val="22"/>
              </w:rPr>
            </w:pPr>
            <w:r w:rsidRPr="00B43E7D">
              <w:rPr>
                <w:sz w:val="22"/>
                <w:szCs w:val="22"/>
              </w:rPr>
              <w:t>В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806BF2" w:rsidP="00BB3DE1">
            <w:pPr>
              <w:jc w:val="center"/>
              <w:rPr>
                <w:sz w:val="22"/>
                <w:szCs w:val="22"/>
              </w:rPr>
            </w:pPr>
            <w:r>
              <w:rPr>
                <w:sz w:val="22"/>
                <w:szCs w:val="22"/>
              </w:rPr>
              <w:t>0</w:t>
            </w:r>
            <w:r w:rsidR="00BB3DE1" w:rsidRPr="00BB3DE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F4347" w:rsidP="00BB3DE1">
            <w:pPr>
              <w:jc w:val="center"/>
              <w:rPr>
                <w:sz w:val="22"/>
                <w:szCs w:val="22"/>
              </w:rPr>
            </w:pPr>
            <w:r w:rsidRPr="00F229E5">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806BF2" w:rsidP="00BB3DE1">
            <w:pPr>
              <w:jc w:val="center"/>
              <w:rPr>
                <w:sz w:val="22"/>
                <w:szCs w:val="22"/>
              </w:rPr>
            </w:pPr>
            <w:r>
              <w:rPr>
                <w:sz w:val="22"/>
                <w:szCs w:val="22"/>
              </w:rPr>
              <w:t>0</w:t>
            </w:r>
            <w:r w:rsidR="00BB3DE1"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806BF2" w:rsidP="00BB3DE1">
            <w:pPr>
              <w:jc w:val="center"/>
              <w:rPr>
                <w:sz w:val="22"/>
                <w:szCs w:val="22"/>
              </w:rPr>
            </w:pPr>
            <w:r>
              <w:rPr>
                <w:sz w:val="22"/>
                <w:szCs w:val="22"/>
              </w:rPr>
              <w:t>0</w:t>
            </w:r>
            <w:r w:rsidR="00BB3DE1"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550,00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650,00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382725" w:rsidP="00790F18">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790F18">
            <w:pPr>
              <w:jc w:val="center"/>
              <w:outlineLvl w:val="2"/>
              <w:rPr>
                <w:b/>
                <w:sz w:val="22"/>
                <w:szCs w:val="22"/>
              </w:rPr>
            </w:pPr>
            <w:r w:rsidRPr="00226C18">
              <w:rPr>
                <w:b/>
                <w:sz w:val="22"/>
                <w:szCs w:val="22"/>
              </w:rPr>
              <w:t>Подпрограмма 2</w:t>
            </w:r>
            <w:r w:rsidR="00DE2852">
              <w:rPr>
                <w:b/>
                <w:sz w:val="22"/>
                <w:szCs w:val="22"/>
              </w:rPr>
              <w:t xml:space="preserve"> </w:t>
            </w:r>
            <w:r w:rsidR="00DE2852" w:rsidRPr="00DE2852">
              <w:rPr>
                <w:b/>
                <w:sz w:val="22"/>
                <w:szCs w:val="22"/>
              </w:rPr>
              <w:t>«Обеспечение реализации программы и общепрограммные мероприятия»</w:t>
            </w:r>
            <w:r w:rsidRPr="00226C18">
              <w:rPr>
                <w:b/>
                <w:sz w:val="22"/>
                <w:szCs w:val="22"/>
              </w:rPr>
              <w:t>, всего</w:t>
            </w:r>
            <w:r w:rsidR="00505F20">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E2852" w:rsidRDefault="00DE2852" w:rsidP="00790F18">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B21087" w:rsidP="00F064F4">
            <w:pPr>
              <w:rPr>
                <w:b/>
                <w:sz w:val="22"/>
                <w:szCs w:val="22"/>
              </w:rPr>
            </w:pPr>
            <w:r w:rsidRPr="00B21087">
              <w:rPr>
                <w:b/>
                <w:sz w:val="22"/>
                <w:szCs w:val="22"/>
              </w:rPr>
              <w:t>8 445,66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B04F9">
            <w:pPr>
              <w:rPr>
                <w:b/>
                <w:sz w:val="22"/>
                <w:szCs w:val="22"/>
              </w:rPr>
            </w:pPr>
            <w:r w:rsidRPr="004C6C18">
              <w:rPr>
                <w:b/>
                <w:sz w:val="22"/>
                <w:szCs w:val="22"/>
              </w:rPr>
              <w:t>8</w:t>
            </w:r>
            <w:r w:rsidR="007B04F9">
              <w:rPr>
                <w:b/>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B04F9">
            <w:pPr>
              <w:rPr>
                <w:b/>
                <w:sz w:val="22"/>
                <w:szCs w:val="22"/>
              </w:rPr>
            </w:pPr>
            <w:r w:rsidRPr="004C6C18">
              <w:rPr>
                <w:b/>
                <w:sz w:val="22"/>
                <w:szCs w:val="22"/>
              </w:rPr>
              <w:t>8</w:t>
            </w:r>
            <w:r w:rsidR="007B04F9">
              <w:rPr>
                <w:b/>
                <w:sz w:val="22"/>
                <w:szCs w:val="22"/>
              </w:rPr>
              <w:t>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w:t>
            </w:r>
            <w:proofErr w:type="gramStart"/>
            <w:r w:rsidRPr="00706581">
              <w:rPr>
                <w:sz w:val="22"/>
                <w:szCs w:val="22"/>
              </w:rPr>
              <w:t>исполнителю  (</w:t>
            </w:r>
            <w:proofErr w:type="gramEnd"/>
            <w:r w:rsidRPr="00706581">
              <w:rPr>
                <w:sz w:val="22"/>
                <w:szCs w:val="22"/>
              </w:rPr>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B21087" w:rsidP="00F064F4">
            <w:pPr>
              <w:rPr>
                <w:sz w:val="22"/>
                <w:szCs w:val="22"/>
              </w:rPr>
            </w:pPr>
            <w:r w:rsidRPr="00B21087">
              <w:rPr>
                <w:sz w:val="22"/>
                <w:szCs w:val="22"/>
              </w:rPr>
              <w:t>8 445,66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B04F9">
            <w:pPr>
              <w:rPr>
                <w:sz w:val="22"/>
                <w:szCs w:val="22"/>
              </w:rPr>
            </w:pPr>
            <w:r w:rsidRPr="00451B4A">
              <w:rPr>
                <w:sz w:val="22"/>
                <w:szCs w:val="22"/>
              </w:rPr>
              <w:t>8</w:t>
            </w:r>
            <w:r w:rsidR="007B04F9">
              <w:rPr>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B21087" w:rsidP="00F064F4">
            <w:pPr>
              <w:rPr>
                <w:sz w:val="22"/>
                <w:szCs w:val="22"/>
              </w:rPr>
            </w:pPr>
            <w:r w:rsidRPr="00B21087">
              <w:rPr>
                <w:sz w:val="22"/>
                <w:szCs w:val="22"/>
              </w:rPr>
              <w:t>8 445,66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поступление  средств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451B4A" w:rsidP="00790F18">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r w:rsidRPr="00B43E7D">
              <w:rPr>
                <w:b/>
                <w:sz w:val="22"/>
                <w:szCs w:val="22"/>
              </w:rPr>
              <w:t>Основное мероприятие 1</w:t>
            </w:r>
            <w:r w:rsidR="00505F20">
              <w:rPr>
                <w:b/>
                <w:sz w:val="22"/>
                <w:szCs w:val="22"/>
              </w:rPr>
              <w:t xml:space="preserve"> «</w:t>
            </w:r>
            <w:r w:rsidR="00505F20" w:rsidRPr="00505F20">
              <w:rPr>
                <w:b/>
                <w:sz w:val="22"/>
                <w:szCs w:val="22"/>
              </w:rPr>
              <w:t>Финансовой обеспечение деятельности органов местного самоуправления и их структурных подразделений</w:t>
            </w:r>
            <w:r w:rsidR="00505F20">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505F20" w:rsidRDefault="00505F20" w:rsidP="00790F18">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B21087" w:rsidP="00F064F4">
            <w:pPr>
              <w:rPr>
                <w:b/>
                <w:sz w:val="22"/>
                <w:szCs w:val="22"/>
              </w:rPr>
            </w:pPr>
            <w:r w:rsidRPr="00B21087">
              <w:rPr>
                <w:b/>
                <w:sz w:val="22"/>
                <w:szCs w:val="22"/>
              </w:rPr>
              <w:t>8 445,66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B04F9" w:rsidP="00790F18">
            <w:pPr>
              <w:rPr>
                <w:b/>
                <w:sz w:val="22"/>
                <w:szCs w:val="22"/>
              </w:rPr>
            </w:pPr>
            <w:r w:rsidRPr="007B04F9">
              <w:rPr>
                <w:b/>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B04F9" w:rsidP="00790F18">
            <w:pPr>
              <w:rPr>
                <w:b/>
                <w:sz w:val="22"/>
                <w:szCs w:val="22"/>
              </w:rPr>
            </w:pPr>
            <w:r w:rsidRPr="007B04F9">
              <w:rPr>
                <w:b/>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B21087" w:rsidP="00F064F4">
            <w:pPr>
              <w:rPr>
                <w:sz w:val="22"/>
                <w:szCs w:val="22"/>
              </w:rPr>
            </w:pPr>
            <w:r w:rsidRPr="00B21087">
              <w:rPr>
                <w:sz w:val="22"/>
                <w:szCs w:val="22"/>
              </w:rPr>
              <w:t>8 445,66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B21087" w:rsidP="00F064F4">
            <w:pPr>
              <w:rPr>
                <w:sz w:val="22"/>
                <w:szCs w:val="22"/>
              </w:rPr>
            </w:pPr>
            <w:r w:rsidRPr="00B21087">
              <w:rPr>
                <w:sz w:val="22"/>
                <w:szCs w:val="22"/>
              </w:rPr>
              <w:t>8 445,66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поступление  средств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451B4A"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 xml:space="preserve">беспечение деятельности управления архитектуры и </w:t>
            </w:r>
            <w:r w:rsidRPr="00451B4A">
              <w:rPr>
                <w:sz w:val="22"/>
                <w:szCs w:val="22"/>
              </w:rPr>
              <w:lastRenderedPageBreak/>
              <w:t>градостроительства администрации Минераловодского городского 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lastRenderedPageBreak/>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FA24C7" w:rsidP="003B2F6D">
            <w:pPr>
              <w:rPr>
                <w:sz w:val="22"/>
                <w:szCs w:val="22"/>
              </w:rPr>
            </w:pPr>
            <w:r w:rsidRPr="00F064F4">
              <w:rPr>
                <w:sz w:val="22"/>
                <w:szCs w:val="22"/>
              </w:rPr>
              <w:t>8 </w:t>
            </w:r>
            <w:r w:rsidR="00F064F4" w:rsidRPr="00F064F4">
              <w:rPr>
                <w:sz w:val="22"/>
                <w:szCs w:val="22"/>
              </w:rPr>
              <w:t>4</w:t>
            </w:r>
            <w:r w:rsidR="003B2F6D">
              <w:rPr>
                <w:sz w:val="22"/>
                <w:szCs w:val="22"/>
              </w:rPr>
              <w:t>45,66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B04F9" w:rsidP="00451B4A">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B04F9" w:rsidP="00451B4A">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FA24C7" w:rsidP="003B2F6D">
            <w:pPr>
              <w:jc w:val="center"/>
              <w:rPr>
                <w:sz w:val="22"/>
                <w:szCs w:val="22"/>
              </w:rPr>
            </w:pPr>
            <w:r w:rsidRPr="00F064F4">
              <w:rPr>
                <w:sz w:val="22"/>
                <w:szCs w:val="22"/>
              </w:rPr>
              <w:t>8 </w:t>
            </w:r>
            <w:r w:rsidR="00F064F4" w:rsidRPr="00F064F4">
              <w:rPr>
                <w:sz w:val="22"/>
                <w:szCs w:val="22"/>
              </w:rPr>
              <w:t>44</w:t>
            </w:r>
            <w:r w:rsidR="003B2F6D">
              <w:rPr>
                <w:sz w:val="22"/>
                <w:szCs w:val="22"/>
              </w:rPr>
              <w:t>5,66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rPr>
                <w:sz w:val="22"/>
                <w:szCs w:val="22"/>
              </w:rPr>
            </w:pPr>
            <w:r w:rsidRPr="001C3FE5">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rPr>
                <w:sz w:val="22"/>
                <w:szCs w:val="22"/>
              </w:rPr>
            </w:pPr>
            <w:r w:rsidRPr="001C3FE5">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FA24C7" w:rsidP="003B2F6D">
            <w:pPr>
              <w:jc w:val="center"/>
              <w:outlineLvl w:val="2"/>
              <w:rPr>
                <w:sz w:val="22"/>
                <w:szCs w:val="22"/>
              </w:rPr>
            </w:pPr>
            <w:r w:rsidRPr="00F064F4">
              <w:rPr>
                <w:sz w:val="22"/>
                <w:szCs w:val="22"/>
              </w:rPr>
              <w:t>8 </w:t>
            </w:r>
            <w:r w:rsidR="00F064F4" w:rsidRPr="00F064F4">
              <w:rPr>
                <w:sz w:val="22"/>
                <w:szCs w:val="22"/>
              </w:rPr>
              <w:t>4</w:t>
            </w:r>
            <w:r w:rsidRPr="00F064F4">
              <w:rPr>
                <w:sz w:val="22"/>
                <w:szCs w:val="22"/>
              </w:rPr>
              <w:t>4</w:t>
            </w:r>
            <w:r w:rsidR="003B2F6D">
              <w:rPr>
                <w:sz w:val="22"/>
                <w:szCs w:val="22"/>
              </w:rPr>
              <w:t>5,66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outlineLvl w:val="2"/>
              <w:rPr>
                <w:sz w:val="22"/>
                <w:szCs w:val="22"/>
              </w:rPr>
            </w:pPr>
            <w:r w:rsidRPr="001C3FE5">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pPr>
            <w:r w:rsidRPr="001C3FE5">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Прогнозируемое поступление  средств в местный бюджет, в </w:t>
            </w:r>
            <w:proofErr w:type="spellStart"/>
            <w:r w:rsidRPr="00B43E7D">
              <w:rPr>
                <w:sz w:val="22"/>
                <w:szCs w:val="22"/>
              </w:rPr>
              <w:t>т.ч</w:t>
            </w:r>
            <w:proofErr w:type="spellEnd"/>
            <w:r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bl>
    <w:p w:rsidR="00FB2C73" w:rsidRDefault="00FB2C73" w:rsidP="00FA0987"/>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12F" w:rsidRDefault="0009112F" w:rsidP="00635CEF">
      <w:r>
        <w:separator/>
      </w:r>
    </w:p>
  </w:endnote>
  <w:endnote w:type="continuationSeparator" w:id="0">
    <w:p w:rsidR="0009112F" w:rsidRDefault="0009112F"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12F" w:rsidRDefault="0009112F" w:rsidP="00635CEF">
      <w:r>
        <w:separator/>
      </w:r>
    </w:p>
  </w:footnote>
  <w:footnote w:type="continuationSeparator" w:id="0">
    <w:p w:rsidR="0009112F" w:rsidRDefault="0009112F"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F04" w:rsidRDefault="009B6F04">
    <w:pPr>
      <w:pStyle w:val="a7"/>
      <w:jc w:val="center"/>
    </w:pPr>
  </w:p>
  <w:p w:rsidR="009B6F04" w:rsidRDefault="009B6F0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E9"/>
    <w:rsid w:val="00000CE1"/>
    <w:rsid w:val="00000F06"/>
    <w:rsid w:val="00004068"/>
    <w:rsid w:val="000059FC"/>
    <w:rsid w:val="00010B5D"/>
    <w:rsid w:val="00012150"/>
    <w:rsid w:val="00012673"/>
    <w:rsid w:val="000129CC"/>
    <w:rsid w:val="00014515"/>
    <w:rsid w:val="0001619C"/>
    <w:rsid w:val="00020875"/>
    <w:rsid w:val="0002347D"/>
    <w:rsid w:val="000254A0"/>
    <w:rsid w:val="000257EB"/>
    <w:rsid w:val="00025828"/>
    <w:rsid w:val="000267FA"/>
    <w:rsid w:val="00027E25"/>
    <w:rsid w:val="000303AE"/>
    <w:rsid w:val="000317BB"/>
    <w:rsid w:val="00033EBC"/>
    <w:rsid w:val="00035CF0"/>
    <w:rsid w:val="00040041"/>
    <w:rsid w:val="00040B3C"/>
    <w:rsid w:val="0004289C"/>
    <w:rsid w:val="000448BD"/>
    <w:rsid w:val="0004648B"/>
    <w:rsid w:val="0005001A"/>
    <w:rsid w:val="00054AC0"/>
    <w:rsid w:val="00055FC0"/>
    <w:rsid w:val="000567A8"/>
    <w:rsid w:val="00056BCA"/>
    <w:rsid w:val="0005707A"/>
    <w:rsid w:val="000573F2"/>
    <w:rsid w:val="000612D1"/>
    <w:rsid w:val="00061D83"/>
    <w:rsid w:val="0006211C"/>
    <w:rsid w:val="0006467A"/>
    <w:rsid w:val="00064FAD"/>
    <w:rsid w:val="000659FB"/>
    <w:rsid w:val="00066091"/>
    <w:rsid w:val="00066C1F"/>
    <w:rsid w:val="00067CA1"/>
    <w:rsid w:val="00070044"/>
    <w:rsid w:val="000702E2"/>
    <w:rsid w:val="00072A07"/>
    <w:rsid w:val="000760DB"/>
    <w:rsid w:val="0007680F"/>
    <w:rsid w:val="00081C27"/>
    <w:rsid w:val="00081DAB"/>
    <w:rsid w:val="0008360B"/>
    <w:rsid w:val="00085180"/>
    <w:rsid w:val="00086055"/>
    <w:rsid w:val="00086F15"/>
    <w:rsid w:val="00086F1E"/>
    <w:rsid w:val="0009112F"/>
    <w:rsid w:val="0009382B"/>
    <w:rsid w:val="00094853"/>
    <w:rsid w:val="00097C79"/>
    <w:rsid w:val="000A2584"/>
    <w:rsid w:val="000A2B61"/>
    <w:rsid w:val="000A3520"/>
    <w:rsid w:val="000A3705"/>
    <w:rsid w:val="000A3B1E"/>
    <w:rsid w:val="000A4A1A"/>
    <w:rsid w:val="000B00D0"/>
    <w:rsid w:val="000B6AAF"/>
    <w:rsid w:val="000B6DDC"/>
    <w:rsid w:val="000C090E"/>
    <w:rsid w:val="000C2B04"/>
    <w:rsid w:val="000C7336"/>
    <w:rsid w:val="000C7E0A"/>
    <w:rsid w:val="000D69FC"/>
    <w:rsid w:val="000D6D13"/>
    <w:rsid w:val="000D6F3A"/>
    <w:rsid w:val="000D77E5"/>
    <w:rsid w:val="000E0575"/>
    <w:rsid w:val="000E090C"/>
    <w:rsid w:val="000E0D32"/>
    <w:rsid w:val="000E24C2"/>
    <w:rsid w:val="000E3860"/>
    <w:rsid w:val="000E4644"/>
    <w:rsid w:val="000E68AE"/>
    <w:rsid w:val="000E782F"/>
    <w:rsid w:val="000F1D8E"/>
    <w:rsid w:val="000F53AF"/>
    <w:rsid w:val="000F604D"/>
    <w:rsid w:val="000F63E4"/>
    <w:rsid w:val="000F7AA4"/>
    <w:rsid w:val="000F7F3D"/>
    <w:rsid w:val="001005FE"/>
    <w:rsid w:val="00100C0B"/>
    <w:rsid w:val="001029BF"/>
    <w:rsid w:val="00104B14"/>
    <w:rsid w:val="00104F0B"/>
    <w:rsid w:val="001053BF"/>
    <w:rsid w:val="00105FBC"/>
    <w:rsid w:val="00106F29"/>
    <w:rsid w:val="00107656"/>
    <w:rsid w:val="00114E9D"/>
    <w:rsid w:val="00116927"/>
    <w:rsid w:val="00116CC9"/>
    <w:rsid w:val="00117C29"/>
    <w:rsid w:val="00120AFE"/>
    <w:rsid w:val="00122091"/>
    <w:rsid w:val="00122710"/>
    <w:rsid w:val="001246D4"/>
    <w:rsid w:val="001248DF"/>
    <w:rsid w:val="001273B8"/>
    <w:rsid w:val="00136091"/>
    <w:rsid w:val="00137CEC"/>
    <w:rsid w:val="001414E9"/>
    <w:rsid w:val="0014199F"/>
    <w:rsid w:val="00143202"/>
    <w:rsid w:val="00144DF8"/>
    <w:rsid w:val="00147888"/>
    <w:rsid w:val="00151037"/>
    <w:rsid w:val="00151D13"/>
    <w:rsid w:val="00152756"/>
    <w:rsid w:val="00156D9D"/>
    <w:rsid w:val="00157340"/>
    <w:rsid w:val="00157EA6"/>
    <w:rsid w:val="001613BD"/>
    <w:rsid w:val="00162937"/>
    <w:rsid w:val="001672F9"/>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FD2"/>
    <w:rsid w:val="001A1B41"/>
    <w:rsid w:val="001A495B"/>
    <w:rsid w:val="001A6B51"/>
    <w:rsid w:val="001A79C1"/>
    <w:rsid w:val="001B0168"/>
    <w:rsid w:val="001B066E"/>
    <w:rsid w:val="001B2B86"/>
    <w:rsid w:val="001B4C89"/>
    <w:rsid w:val="001B5119"/>
    <w:rsid w:val="001B51F6"/>
    <w:rsid w:val="001B5A3D"/>
    <w:rsid w:val="001B6F16"/>
    <w:rsid w:val="001B6F3F"/>
    <w:rsid w:val="001C0E36"/>
    <w:rsid w:val="001C34C3"/>
    <w:rsid w:val="001C3FE5"/>
    <w:rsid w:val="001C46C2"/>
    <w:rsid w:val="001C5974"/>
    <w:rsid w:val="001C7975"/>
    <w:rsid w:val="001D176F"/>
    <w:rsid w:val="001D1FE4"/>
    <w:rsid w:val="001D4D5F"/>
    <w:rsid w:val="001D746D"/>
    <w:rsid w:val="001E0434"/>
    <w:rsid w:val="001E06D7"/>
    <w:rsid w:val="001E0C58"/>
    <w:rsid w:val="001E1E5A"/>
    <w:rsid w:val="001E346A"/>
    <w:rsid w:val="001E56DE"/>
    <w:rsid w:val="001E69D7"/>
    <w:rsid w:val="001E6D8E"/>
    <w:rsid w:val="001F4C3C"/>
    <w:rsid w:val="00200A3B"/>
    <w:rsid w:val="00201C13"/>
    <w:rsid w:val="002032F6"/>
    <w:rsid w:val="0020355B"/>
    <w:rsid w:val="00203A2C"/>
    <w:rsid w:val="00204569"/>
    <w:rsid w:val="00206593"/>
    <w:rsid w:val="002079C7"/>
    <w:rsid w:val="00210647"/>
    <w:rsid w:val="00211458"/>
    <w:rsid w:val="002118FC"/>
    <w:rsid w:val="0021255F"/>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7B77"/>
    <w:rsid w:val="00240962"/>
    <w:rsid w:val="00241314"/>
    <w:rsid w:val="00241F0D"/>
    <w:rsid w:val="00242483"/>
    <w:rsid w:val="00246C05"/>
    <w:rsid w:val="00250B69"/>
    <w:rsid w:val="002523A0"/>
    <w:rsid w:val="0025241B"/>
    <w:rsid w:val="0025456D"/>
    <w:rsid w:val="00254FF5"/>
    <w:rsid w:val="002555A2"/>
    <w:rsid w:val="00260EFB"/>
    <w:rsid w:val="002612CC"/>
    <w:rsid w:val="00261636"/>
    <w:rsid w:val="0026232C"/>
    <w:rsid w:val="002630F8"/>
    <w:rsid w:val="002647AA"/>
    <w:rsid w:val="002656FC"/>
    <w:rsid w:val="002675C4"/>
    <w:rsid w:val="00270621"/>
    <w:rsid w:val="00271302"/>
    <w:rsid w:val="00271493"/>
    <w:rsid w:val="002761E4"/>
    <w:rsid w:val="00276839"/>
    <w:rsid w:val="002807BC"/>
    <w:rsid w:val="00280B85"/>
    <w:rsid w:val="00280C60"/>
    <w:rsid w:val="002823E2"/>
    <w:rsid w:val="00284A91"/>
    <w:rsid w:val="002851B7"/>
    <w:rsid w:val="002862ED"/>
    <w:rsid w:val="00291A1C"/>
    <w:rsid w:val="00292E8F"/>
    <w:rsid w:val="0029360F"/>
    <w:rsid w:val="002938CB"/>
    <w:rsid w:val="00296BEF"/>
    <w:rsid w:val="00297071"/>
    <w:rsid w:val="002A0BBE"/>
    <w:rsid w:val="002A1333"/>
    <w:rsid w:val="002A21A7"/>
    <w:rsid w:val="002A3129"/>
    <w:rsid w:val="002A4E39"/>
    <w:rsid w:val="002A50AC"/>
    <w:rsid w:val="002A5127"/>
    <w:rsid w:val="002A7E9E"/>
    <w:rsid w:val="002B2015"/>
    <w:rsid w:val="002B3A0F"/>
    <w:rsid w:val="002B5153"/>
    <w:rsid w:val="002B54D9"/>
    <w:rsid w:val="002B611E"/>
    <w:rsid w:val="002C1A5C"/>
    <w:rsid w:val="002C1F96"/>
    <w:rsid w:val="002C2188"/>
    <w:rsid w:val="002C40E5"/>
    <w:rsid w:val="002C58F9"/>
    <w:rsid w:val="002C7932"/>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4E10"/>
    <w:rsid w:val="002F6815"/>
    <w:rsid w:val="002F68C9"/>
    <w:rsid w:val="003000A3"/>
    <w:rsid w:val="00310F5D"/>
    <w:rsid w:val="0032066A"/>
    <w:rsid w:val="00323F84"/>
    <w:rsid w:val="00326F4D"/>
    <w:rsid w:val="00327069"/>
    <w:rsid w:val="00330130"/>
    <w:rsid w:val="00330C38"/>
    <w:rsid w:val="00331140"/>
    <w:rsid w:val="003321FD"/>
    <w:rsid w:val="0033228C"/>
    <w:rsid w:val="0033338A"/>
    <w:rsid w:val="00334E4C"/>
    <w:rsid w:val="00335E21"/>
    <w:rsid w:val="0033656B"/>
    <w:rsid w:val="003367E5"/>
    <w:rsid w:val="00340B20"/>
    <w:rsid w:val="00340C84"/>
    <w:rsid w:val="00342668"/>
    <w:rsid w:val="0034362C"/>
    <w:rsid w:val="00343CB1"/>
    <w:rsid w:val="00343F3C"/>
    <w:rsid w:val="00344CA0"/>
    <w:rsid w:val="003473A4"/>
    <w:rsid w:val="00352CBE"/>
    <w:rsid w:val="00353036"/>
    <w:rsid w:val="003550C4"/>
    <w:rsid w:val="00355AB2"/>
    <w:rsid w:val="00363749"/>
    <w:rsid w:val="00363ED4"/>
    <w:rsid w:val="0037062F"/>
    <w:rsid w:val="00370771"/>
    <w:rsid w:val="003714FF"/>
    <w:rsid w:val="003715DF"/>
    <w:rsid w:val="00371F76"/>
    <w:rsid w:val="00372F4B"/>
    <w:rsid w:val="003749AC"/>
    <w:rsid w:val="003806A3"/>
    <w:rsid w:val="0038091B"/>
    <w:rsid w:val="00380F80"/>
    <w:rsid w:val="00382725"/>
    <w:rsid w:val="00382C77"/>
    <w:rsid w:val="00383BB9"/>
    <w:rsid w:val="003846A0"/>
    <w:rsid w:val="003912B7"/>
    <w:rsid w:val="00392487"/>
    <w:rsid w:val="003925A9"/>
    <w:rsid w:val="00393DB9"/>
    <w:rsid w:val="00394465"/>
    <w:rsid w:val="0039786B"/>
    <w:rsid w:val="003A12D5"/>
    <w:rsid w:val="003A16F9"/>
    <w:rsid w:val="003A1E93"/>
    <w:rsid w:val="003A2F1C"/>
    <w:rsid w:val="003A3A89"/>
    <w:rsid w:val="003A4AC2"/>
    <w:rsid w:val="003A5D37"/>
    <w:rsid w:val="003A7521"/>
    <w:rsid w:val="003B0B0B"/>
    <w:rsid w:val="003B10AC"/>
    <w:rsid w:val="003B2F6D"/>
    <w:rsid w:val="003B4D20"/>
    <w:rsid w:val="003B67F0"/>
    <w:rsid w:val="003B6964"/>
    <w:rsid w:val="003B6D32"/>
    <w:rsid w:val="003B71BF"/>
    <w:rsid w:val="003C0E53"/>
    <w:rsid w:val="003C0E54"/>
    <w:rsid w:val="003C1D61"/>
    <w:rsid w:val="003C2CAA"/>
    <w:rsid w:val="003C30C9"/>
    <w:rsid w:val="003C417B"/>
    <w:rsid w:val="003C4436"/>
    <w:rsid w:val="003C5883"/>
    <w:rsid w:val="003C5FB9"/>
    <w:rsid w:val="003C6E89"/>
    <w:rsid w:val="003C76E7"/>
    <w:rsid w:val="003D19FA"/>
    <w:rsid w:val="003D3622"/>
    <w:rsid w:val="003D41A0"/>
    <w:rsid w:val="003E009E"/>
    <w:rsid w:val="003E19C7"/>
    <w:rsid w:val="003E2845"/>
    <w:rsid w:val="003E2D24"/>
    <w:rsid w:val="003E2E9E"/>
    <w:rsid w:val="003E343F"/>
    <w:rsid w:val="003E442F"/>
    <w:rsid w:val="003F12BD"/>
    <w:rsid w:val="003F1E8D"/>
    <w:rsid w:val="003F2774"/>
    <w:rsid w:val="003F6A39"/>
    <w:rsid w:val="003F78AC"/>
    <w:rsid w:val="004011DF"/>
    <w:rsid w:val="004018E3"/>
    <w:rsid w:val="00402CF1"/>
    <w:rsid w:val="0040482C"/>
    <w:rsid w:val="00404BC9"/>
    <w:rsid w:val="00405437"/>
    <w:rsid w:val="00407905"/>
    <w:rsid w:val="004105E9"/>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40329"/>
    <w:rsid w:val="00441866"/>
    <w:rsid w:val="0044476D"/>
    <w:rsid w:val="0044496B"/>
    <w:rsid w:val="00445025"/>
    <w:rsid w:val="00446D52"/>
    <w:rsid w:val="00450526"/>
    <w:rsid w:val="00451B4A"/>
    <w:rsid w:val="004534E9"/>
    <w:rsid w:val="00453BE2"/>
    <w:rsid w:val="00453CBF"/>
    <w:rsid w:val="004555A8"/>
    <w:rsid w:val="00455E80"/>
    <w:rsid w:val="00463D76"/>
    <w:rsid w:val="00467CAA"/>
    <w:rsid w:val="0047067C"/>
    <w:rsid w:val="00470B2E"/>
    <w:rsid w:val="00473036"/>
    <w:rsid w:val="00475587"/>
    <w:rsid w:val="004777A1"/>
    <w:rsid w:val="00480166"/>
    <w:rsid w:val="0048115C"/>
    <w:rsid w:val="00481597"/>
    <w:rsid w:val="004815AF"/>
    <w:rsid w:val="004842E0"/>
    <w:rsid w:val="004845EF"/>
    <w:rsid w:val="00486C47"/>
    <w:rsid w:val="00487346"/>
    <w:rsid w:val="00487854"/>
    <w:rsid w:val="00491004"/>
    <w:rsid w:val="0049283E"/>
    <w:rsid w:val="00492918"/>
    <w:rsid w:val="00493F34"/>
    <w:rsid w:val="00494F11"/>
    <w:rsid w:val="004A12E5"/>
    <w:rsid w:val="004A3142"/>
    <w:rsid w:val="004A533C"/>
    <w:rsid w:val="004A5986"/>
    <w:rsid w:val="004A6C7C"/>
    <w:rsid w:val="004A7567"/>
    <w:rsid w:val="004B0BD8"/>
    <w:rsid w:val="004B0FBB"/>
    <w:rsid w:val="004B2E6C"/>
    <w:rsid w:val="004B524D"/>
    <w:rsid w:val="004B6843"/>
    <w:rsid w:val="004B7DF9"/>
    <w:rsid w:val="004C11FA"/>
    <w:rsid w:val="004C3A2F"/>
    <w:rsid w:val="004C3C66"/>
    <w:rsid w:val="004C569C"/>
    <w:rsid w:val="004D21F9"/>
    <w:rsid w:val="004D3EA7"/>
    <w:rsid w:val="004D4C4D"/>
    <w:rsid w:val="004D55F1"/>
    <w:rsid w:val="004D5FCF"/>
    <w:rsid w:val="004D60C9"/>
    <w:rsid w:val="004D74D4"/>
    <w:rsid w:val="004E1A6D"/>
    <w:rsid w:val="004E2836"/>
    <w:rsid w:val="004E7607"/>
    <w:rsid w:val="004F08B2"/>
    <w:rsid w:val="004F14B0"/>
    <w:rsid w:val="004F1520"/>
    <w:rsid w:val="004F4116"/>
    <w:rsid w:val="004F6B36"/>
    <w:rsid w:val="004F773C"/>
    <w:rsid w:val="0050165C"/>
    <w:rsid w:val="00504253"/>
    <w:rsid w:val="00505F20"/>
    <w:rsid w:val="00506189"/>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4032E"/>
    <w:rsid w:val="005406D9"/>
    <w:rsid w:val="005411F7"/>
    <w:rsid w:val="005453CF"/>
    <w:rsid w:val="00546A32"/>
    <w:rsid w:val="00547518"/>
    <w:rsid w:val="005500DB"/>
    <w:rsid w:val="005517B8"/>
    <w:rsid w:val="0055250A"/>
    <w:rsid w:val="0055499F"/>
    <w:rsid w:val="00556539"/>
    <w:rsid w:val="005572A2"/>
    <w:rsid w:val="00562915"/>
    <w:rsid w:val="00564500"/>
    <w:rsid w:val="00565C64"/>
    <w:rsid w:val="005661DE"/>
    <w:rsid w:val="00567BAB"/>
    <w:rsid w:val="00567BC9"/>
    <w:rsid w:val="0057084E"/>
    <w:rsid w:val="00570C70"/>
    <w:rsid w:val="00571265"/>
    <w:rsid w:val="005769F8"/>
    <w:rsid w:val="005804B0"/>
    <w:rsid w:val="00581A47"/>
    <w:rsid w:val="00582AC3"/>
    <w:rsid w:val="005842AE"/>
    <w:rsid w:val="00586C3B"/>
    <w:rsid w:val="0059193C"/>
    <w:rsid w:val="005946D3"/>
    <w:rsid w:val="0059517E"/>
    <w:rsid w:val="00595BAF"/>
    <w:rsid w:val="005960DA"/>
    <w:rsid w:val="005A4D8F"/>
    <w:rsid w:val="005A5272"/>
    <w:rsid w:val="005A53CD"/>
    <w:rsid w:val="005A63F0"/>
    <w:rsid w:val="005A7950"/>
    <w:rsid w:val="005A7A91"/>
    <w:rsid w:val="005B2C6C"/>
    <w:rsid w:val="005B489F"/>
    <w:rsid w:val="005B4BCF"/>
    <w:rsid w:val="005B776E"/>
    <w:rsid w:val="005B794C"/>
    <w:rsid w:val="005C75EA"/>
    <w:rsid w:val="005C78C8"/>
    <w:rsid w:val="005C79F6"/>
    <w:rsid w:val="005D0EAF"/>
    <w:rsid w:val="005D2000"/>
    <w:rsid w:val="005D2532"/>
    <w:rsid w:val="005D4A6B"/>
    <w:rsid w:val="005D6CDB"/>
    <w:rsid w:val="005D7CE8"/>
    <w:rsid w:val="005E03CC"/>
    <w:rsid w:val="005E0B01"/>
    <w:rsid w:val="005E1222"/>
    <w:rsid w:val="005E1D67"/>
    <w:rsid w:val="005E5135"/>
    <w:rsid w:val="005E68F7"/>
    <w:rsid w:val="005E756F"/>
    <w:rsid w:val="005F3DF5"/>
    <w:rsid w:val="005F45A2"/>
    <w:rsid w:val="005F541E"/>
    <w:rsid w:val="005F641F"/>
    <w:rsid w:val="005F6C4D"/>
    <w:rsid w:val="006008F3"/>
    <w:rsid w:val="00602AE5"/>
    <w:rsid w:val="00603A55"/>
    <w:rsid w:val="00603A9F"/>
    <w:rsid w:val="00606564"/>
    <w:rsid w:val="006067F1"/>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4D29"/>
    <w:rsid w:val="00644D80"/>
    <w:rsid w:val="00646DA8"/>
    <w:rsid w:val="00647A44"/>
    <w:rsid w:val="00647C80"/>
    <w:rsid w:val="00651074"/>
    <w:rsid w:val="006523AB"/>
    <w:rsid w:val="006540D7"/>
    <w:rsid w:val="00655C0F"/>
    <w:rsid w:val="006577C5"/>
    <w:rsid w:val="00661370"/>
    <w:rsid w:val="0066500B"/>
    <w:rsid w:val="0066644D"/>
    <w:rsid w:val="006672F1"/>
    <w:rsid w:val="006673BF"/>
    <w:rsid w:val="00670159"/>
    <w:rsid w:val="006702EB"/>
    <w:rsid w:val="00671163"/>
    <w:rsid w:val="00671229"/>
    <w:rsid w:val="006713B8"/>
    <w:rsid w:val="00671BCD"/>
    <w:rsid w:val="00671D64"/>
    <w:rsid w:val="0067271B"/>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3DB4"/>
    <w:rsid w:val="00694D3C"/>
    <w:rsid w:val="006960D0"/>
    <w:rsid w:val="00696643"/>
    <w:rsid w:val="00696ED6"/>
    <w:rsid w:val="006A0BAA"/>
    <w:rsid w:val="006A0CF8"/>
    <w:rsid w:val="006A168C"/>
    <w:rsid w:val="006A1DEB"/>
    <w:rsid w:val="006A30CD"/>
    <w:rsid w:val="006A5C65"/>
    <w:rsid w:val="006A6302"/>
    <w:rsid w:val="006A688E"/>
    <w:rsid w:val="006B0238"/>
    <w:rsid w:val="006B275B"/>
    <w:rsid w:val="006B2E1D"/>
    <w:rsid w:val="006B4061"/>
    <w:rsid w:val="006B697B"/>
    <w:rsid w:val="006B72FA"/>
    <w:rsid w:val="006C108E"/>
    <w:rsid w:val="006C1B7E"/>
    <w:rsid w:val="006C1C6D"/>
    <w:rsid w:val="006C1DB7"/>
    <w:rsid w:val="006C3F3C"/>
    <w:rsid w:val="006C5D94"/>
    <w:rsid w:val="006D039D"/>
    <w:rsid w:val="006D0DF7"/>
    <w:rsid w:val="006D1C81"/>
    <w:rsid w:val="006D2A63"/>
    <w:rsid w:val="006D38C3"/>
    <w:rsid w:val="006D53ED"/>
    <w:rsid w:val="006D5EEC"/>
    <w:rsid w:val="006D7BD6"/>
    <w:rsid w:val="006E0827"/>
    <w:rsid w:val="006E1562"/>
    <w:rsid w:val="006E2116"/>
    <w:rsid w:val="006E3547"/>
    <w:rsid w:val="006E3D02"/>
    <w:rsid w:val="006E5762"/>
    <w:rsid w:val="006E60F6"/>
    <w:rsid w:val="006E6E3B"/>
    <w:rsid w:val="006F072C"/>
    <w:rsid w:val="006F3CD4"/>
    <w:rsid w:val="006F46D2"/>
    <w:rsid w:val="006F46D7"/>
    <w:rsid w:val="006F4927"/>
    <w:rsid w:val="006F62BB"/>
    <w:rsid w:val="006F6B5D"/>
    <w:rsid w:val="006F6C06"/>
    <w:rsid w:val="00701934"/>
    <w:rsid w:val="00702ECA"/>
    <w:rsid w:val="007033D5"/>
    <w:rsid w:val="00703A2E"/>
    <w:rsid w:val="007060B7"/>
    <w:rsid w:val="00706535"/>
    <w:rsid w:val="00706581"/>
    <w:rsid w:val="00711371"/>
    <w:rsid w:val="00712B2F"/>
    <w:rsid w:val="00716471"/>
    <w:rsid w:val="00720276"/>
    <w:rsid w:val="007203DE"/>
    <w:rsid w:val="00720525"/>
    <w:rsid w:val="00720A04"/>
    <w:rsid w:val="00723EB4"/>
    <w:rsid w:val="007242FA"/>
    <w:rsid w:val="00725D09"/>
    <w:rsid w:val="00726613"/>
    <w:rsid w:val="00727825"/>
    <w:rsid w:val="00727C4D"/>
    <w:rsid w:val="0073027A"/>
    <w:rsid w:val="00731788"/>
    <w:rsid w:val="00731F59"/>
    <w:rsid w:val="0073378E"/>
    <w:rsid w:val="0073732D"/>
    <w:rsid w:val="007405A5"/>
    <w:rsid w:val="007413E7"/>
    <w:rsid w:val="00742392"/>
    <w:rsid w:val="00743DDF"/>
    <w:rsid w:val="007450F3"/>
    <w:rsid w:val="00746A71"/>
    <w:rsid w:val="00751F66"/>
    <w:rsid w:val="00754081"/>
    <w:rsid w:val="007552F9"/>
    <w:rsid w:val="00757674"/>
    <w:rsid w:val="00757780"/>
    <w:rsid w:val="00763D4C"/>
    <w:rsid w:val="00765258"/>
    <w:rsid w:val="00767729"/>
    <w:rsid w:val="00770B7D"/>
    <w:rsid w:val="0077491E"/>
    <w:rsid w:val="0077506A"/>
    <w:rsid w:val="00776F99"/>
    <w:rsid w:val="00782337"/>
    <w:rsid w:val="00782FF2"/>
    <w:rsid w:val="00783896"/>
    <w:rsid w:val="0078763A"/>
    <w:rsid w:val="00790F18"/>
    <w:rsid w:val="0079217B"/>
    <w:rsid w:val="00793889"/>
    <w:rsid w:val="007941A9"/>
    <w:rsid w:val="00797B30"/>
    <w:rsid w:val="00797F58"/>
    <w:rsid w:val="007A0245"/>
    <w:rsid w:val="007A0525"/>
    <w:rsid w:val="007A1FE2"/>
    <w:rsid w:val="007A58F9"/>
    <w:rsid w:val="007A5BA8"/>
    <w:rsid w:val="007A5F38"/>
    <w:rsid w:val="007B04F9"/>
    <w:rsid w:val="007B0519"/>
    <w:rsid w:val="007B1C57"/>
    <w:rsid w:val="007B2C48"/>
    <w:rsid w:val="007B2F6B"/>
    <w:rsid w:val="007B4E7C"/>
    <w:rsid w:val="007B6EF8"/>
    <w:rsid w:val="007C1BAD"/>
    <w:rsid w:val="007C7C2E"/>
    <w:rsid w:val="007D031B"/>
    <w:rsid w:val="007D0FDD"/>
    <w:rsid w:val="007D2130"/>
    <w:rsid w:val="007D2D67"/>
    <w:rsid w:val="007D4E57"/>
    <w:rsid w:val="007D6815"/>
    <w:rsid w:val="007E0186"/>
    <w:rsid w:val="007E0F34"/>
    <w:rsid w:val="007E11D5"/>
    <w:rsid w:val="007E165E"/>
    <w:rsid w:val="007E2082"/>
    <w:rsid w:val="007E5829"/>
    <w:rsid w:val="007E583F"/>
    <w:rsid w:val="007E6DFC"/>
    <w:rsid w:val="007F1140"/>
    <w:rsid w:val="007F390C"/>
    <w:rsid w:val="007F54DC"/>
    <w:rsid w:val="007F5D79"/>
    <w:rsid w:val="008015FA"/>
    <w:rsid w:val="008019C0"/>
    <w:rsid w:val="00802F7D"/>
    <w:rsid w:val="0080380F"/>
    <w:rsid w:val="00805CD3"/>
    <w:rsid w:val="0080614A"/>
    <w:rsid w:val="00806BF2"/>
    <w:rsid w:val="00806CBE"/>
    <w:rsid w:val="008106B4"/>
    <w:rsid w:val="00812BB5"/>
    <w:rsid w:val="008134FF"/>
    <w:rsid w:val="0081453E"/>
    <w:rsid w:val="00816D61"/>
    <w:rsid w:val="008171EE"/>
    <w:rsid w:val="00817B4E"/>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456EB"/>
    <w:rsid w:val="00845A16"/>
    <w:rsid w:val="008465B6"/>
    <w:rsid w:val="0084748A"/>
    <w:rsid w:val="008478A3"/>
    <w:rsid w:val="00847F86"/>
    <w:rsid w:val="00852334"/>
    <w:rsid w:val="00853585"/>
    <w:rsid w:val="00853589"/>
    <w:rsid w:val="00855733"/>
    <w:rsid w:val="00860560"/>
    <w:rsid w:val="008626DB"/>
    <w:rsid w:val="008658B1"/>
    <w:rsid w:val="00867453"/>
    <w:rsid w:val="008679C6"/>
    <w:rsid w:val="00867E80"/>
    <w:rsid w:val="0087086B"/>
    <w:rsid w:val="008710C3"/>
    <w:rsid w:val="008729F5"/>
    <w:rsid w:val="00872EBB"/>
    <w:rsid w:val="00874550"/>
    <w:rsid w:val="008748E0"/>
    <w:rsid w:val="00876D5F"/>
    <w:rsid w:val="00877043"/>
    <w:rsid w:val="008772F8"/>
    <w:rsid w:val="008830CA"/>
    <w:rsid w:val="008831F5"/>
    <w:rsid w:val="00883303"/>
    <w:rsid w:val="00883ABE"/>
    <w:rsid w:val="00885269"/>
    <w:rsid w:val="00886CB7"/>
    <w:rsid w:val="00887FDB"/>
    <w:rsid w:val="00890462"/>
    <w:rsid w:val="008904D9"/>
    <w:rsid w:val="00895C4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757A"/>
    <w:rsid w:val="008C75CD"/>
    <w:rsid w:val="008D0ACB"/>
    <w:rsid w:val="008D0EA2"/>
    <w:rsid w:val="008D1566"/>
    <w:rsid w:val="008D1682"/>
    <w:rsid w:val="008D2D40"/>
    <w:rsid w:val="008D5137"/>
    <w:rsid w:val="008E1390"/>
    <w:rsid w:val="008E175B"/>
    <w:rsid w:val="008E3094"/>
    <w:rsid w:val="008E702D"/>
    <w:rsid w:val="008E7BB5"/>
    <w:rsid w:val="008E7C05"/>
    <w:rsid w:val="008F042E"/>
    <w:rsid w:val="008F10E5"/>
    <w:rsid w:val="008F1A79"/>
    <w:rsid w:val="008F2F9B"/>
    <w:rsid w:val="008F4F8E"/>
    <w:rsid w:val="008F6DB3"/>
    <w:rsid w:val="008F740E"/>
    <w:rsid w:val="00901BCF"/>
    <w:rsid w:val="00901BF0"/>
    <w:rsid w:val="00902E76"/>
    <w:rsid w:val="00903E68"/>
    <w:rsid w:val="009046FB"/>
    <w:rsid w:val="0090596D"/>
    <w:rsid w:val="009073E6"/>
    <w:rsid w:val="00910532"/>
    <w:rsid w:val="009120C3"/>
    <w:rsid w:val="00912B3C"/>
    <w:rsid w:val="00913D93"/>
    <w:rsid w:val="00913F94"/>
    <w:rsid w:val="00914DCA"/>
    <w:rsid w:val="00917A04"/>
    <w:rsid w:val="00922779"/>
    <w:rsid w:val="009230BB"/>
    <w:rsid w:val="00924578"/>
    <w:rsid w:val="00926E20"/>
    <w:rsid w:val="009353C0"/>
    <w:rsid w:val="00935674"/>
    <w:rsid w:val="00937689"/>
    <w:rsid w:val="00941B63"/>
    <w:rsid w:val="00942029"/>
    <w:rsid w:val="00942620"/>
    <w:rsid w:val="009428D8"/>
    <w:rsid w:val="0094417B"/>
    <w:rsid w:val="0094467B"/>
    <w:rsid w:val="009446DF"/>
    <w:rsid w:val="00944917"/>
    <w:rsid w:val="0094687A"/>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4B47"/>
    <w:rsid w:val="00974B93"/>
    <w:rsid w:val="009762C6"/>
    <w:rsid w:val="0097681D"/>
    <w:rsid w:val="00976843"/>
    <w:rsid w:val="00981299"/>
    <w:rsid w:val="009814F0"/>
    <w:rsid w:val="00981DFD"/>
    <w:rsid w:val="00982CB9"/>
    <w:rsid w:val="00985797"/>
    <w:rsid w:val="0098619F"/>
    <w:rsid w:val="00986958"/>
    <w:rsid w:val="00987E7A"/>
    <w:rsid w:val="00990B92"/>
    <w:rsid w:val="00991449"/>
    <w:rsid w:val="009916E2"/>
    <w:rsid w:val="009942B1"/>
    <w:rsid w:val="009958D5"/>
    <w:rsid w:val="009961C7"/>
    <w:rsid w:val="009A07CF"/>
    <w:rsid w:val="009A0E99"/>
    <w:rsid w:val="009A1AB8"/>
    <w:rsid w:val="009A1B55"/>
    <w:rsid w:val="009A3622"/>
    <w:rsid w:val="009A484A"/>
    <w:rsid w:val="009A4A9A"/>
    <w:rsid w:val="009A56C4"/>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4812"/>
    <w:rsid w:val="009D7014"/>
    <w:rsid w:val="009E16AB"/>
    <w:rsid w:val="009E3655"/>
    <w:rsid w:val="009E4909"/>
    <w:rsid w:val="009E51FF"/>
    <w:rsid w:val="009E5A79"/>
    <w:rsid w:val="009E6513"/>
    <w:rsid w:val="009F057B"/>
    <w:rsid w:val="009F4407"/>
    <w:rsid w:val="009F440A"/>
    <w:rsid w:val="009F5278"/>
    <w:rsid w:val="009F5474"/>
    <w:rsid w:val="009F7718"/>
    <w:rsid w:val="00A004F3"/>
    <w:rsid w:val="00A01E74"/>
    <w:rsid w:val="00A02B9D"/>
    <w:rsid w:val="00A064CD"/>
    <w:rsid w:val="00A10047"/>
    <w:rsid w:val="00A10F3E"/>
    <w:rsid w:val="00A1160E"/>
    <w:rsid w:val="00A11856"/>
    <w:rsid w:val="00A1218F"/>
    <w:rsid w:val="00A13050"/>
    <w:rsid w:val="00A13A86"/>
    <w:rsid w:val="00A20064"/>
    <w:rsid w:val="00A21145"/>
    <w:rsid w:val="00A2347E"/>
    <w:rsid w:val="00A25445"/>
    <w:rsid w:val="00A26B67"/>
    <w:rsid w:val="00A31DFD"/>
    <w:rsid w:val="00A40EE1"/>
    <w:rsid w:val="00A469D8"/>
    <w:rsid w:val="00A50341"/>
    <w:rsid w:val="00A504A0"/>
    <w:rsid w:val="00A50AF6"/>
    <w:rsid w:val="00A51A9C"/>
    <w:rsid w:val="00A55BBC"/>
    <w:rsid w:val="00A562AF"/>
    <w:rsid w:val="00A573C8"/>
    <w:rsid w:val="00A607D7"/>
    <w:rsid w:val="00A612D6"/>
    <w:rsid w:val="00A61E7D"/>
    <w:rsid w:val="00A620FF"/>
    <w:rsid w:val="00A63893"/>
    <w:rsid w:val="00A643C4"/>
    <w:rsid w:val="00A648CA"/>
    <w:rsid w:val="00A6506D"/>
    <w:rsid w:val="00A6508A"/>
    <w:rsid w:val="00A65768"/>
    <w:rsid w:val="00A66F1B"/>
    <w:rsid w:val="00A67C3D"/>
    <w:rsid w:val="00A67ED0"/>
    <w:rsid w:val="00A70978"/>
    <w:rsid w:val="00A7260E"/>
    <w:rsid w:val="00A73D1B"/>
    <w:rsid w:val="00A768B2"/>
    <w:rsid w:val="00A8043E"/>
    <w:rsid w:val="00A822D3"/>
    <w:rsid w:val="00A842F1"/>
    <w:rsid w:val="00A860E7"/>
    <w:rsid w:val="00A91817"/>
    <w:rsid w:val="00A937A2"/>
    <w:rsid w:val="00A93C15"/>
    <w:rsid w:val="00A949B8"/>
    <w:rsid w:val="00A95B81"/>
    <w:rsid w:val="00A96372"/>
    <w:rsid w:val="00AA0214"/>
    <w:rsid w:val="00AA1572"/>
    <w:rsid w:val="00AA16F4"/>
    <w:rsid w:val="00AA4305"/>
    <w:rsid w:val="00AA589D"/>
    <w:rsid w:val="00AA58EF"/>
    <w:rsid w:val="00AA5C1F"/>
    <w:rsid w:val="00AA5F19"/>
    <w:rsid w:val="00AC3817"/>
    <w:rsid w:val="00AC60A5"/>
    <w:rsid w:val="00AC6768"/>
    <w:rsid w:val="00AC769D"/>
    <w:rsid w:val="00AD05D2"/>
    <w:rsid w:val="00AD0D8E"/>
    <w:rsid w:val="00AD15C3"/>
    <w:rsid w:val="00AD2775"/>
    <w:rsid w:val="00AD4301"/>
    <w:rsid w:val="00AD57BA"/>
    <w:rsid w:val="00AE1D96"/>
    <w:rsid w:val="00AE2B85"/>
    <w:rsid w:val="00AE50ED"/>
    <w:rsid w:val="00AE65AD"/>
    <w:rsid w:val="00AF00A8"/>
    <w:rsid w:val="00AF0CBD"/>
    <w:rsid w:val="00AF1091"/>
    <w:rsid w:val="00AF133C"/>
    <w:rsid w:val="00AF23FF"/>
    <w:rsid w:val="00AF251C"/>
    <w:rsid w:val="00AF4A02"/>
    <w:rsid w:val="00AF53C4"/>
    <w:rsid w:val="00AF6EDF"/>
    <w:rsid w:val="00AF74F9"/>
    <w:rsid w:val="00AF76AC"/>
    <w:rsid w:val="00AF790A"/>
    <w:rsid w:val="00B00A39"/>
    <w:rsid w:val="00B00D70"/>
    <w:rsid w:val="00B01A00"/>
    <w:rsid w:val="00B023F6"/>
    <w:rsid w:val="00B05709"/>
    <w:rsid w:val="00B05979"/>
    <w:rsid w:val="00B06CC7"/>
    <w:rsid w:val="00B11CFE"/>
    <w:rsid w:val="00B1217B"/>
    <w:rsid w:val="00B12E5A"/>
    <w:rsid w:val="00B1339C"/>
    <w:rsid w:val="00B13C8E"/>
    <w:rsid w:val="00B13E7A"/>
    <w:rsid w:val="00B16B61"/>
    <w:rsid w:val="00B2036A"/>
    <w:rsid w:val="00B20E4F"/>
    <w:rsid w:val="00B21087"/>
    <w:rsid w:val="00B23777"/>
    <w:rsid w:val="00B24DBD"/>
    <w:rsid w:val="00B25774"/>
    <w:rsid w:val="00B26080"/>
    <w:rsid w:val="00B312C1"/>
    <w:rsid w:val="00B333D3"/>
    <w:rsid w:val="00B33F14"/>
    <w:rsid w:val="00B35DD6"/>
    <w:rsid w:val="00B36BFB"/>
    <w:rsid w:val="00B37193"/>
    <w:rsid w:val="00B37C0B"/>
    <w:rsid w:val="00B40DA5"/>
    <w:rsid w:val="00B43E7D"/>
    <w:rsid w:val="00B4527F"/>
    <w:rsid w:val="00B460BB"/>
    <w:rsid w:val="00B46376"/>
    <w:rsid w:val="00B46C92"/>
    <w:rsid w:val="00B47F43"/>
    <w:rsid w:val="00B50A63"/>
    <w:rsid w:val="00B50DA6"/>
    <w:rsid w:val="00B511EC"/>
    <w:rsid w:val="00B52A9A"/>
    <w:rsid w:val="00B54DB4"/>
    <w:rsid w:val="00B55B2F"/>
    <w:rsid w:val="00B57B24"/>
    <w:rsid w:val="00B60993"/>
    <w:rsid w:val="00B6160F"/>
    <w:rsid w:val="00B61824"/>
    <w:rsid w:val="00B61A5C"/>
    <w:rsid w:val="00B71003"/>
    <w:rsid w:val="00B7286E"/>
    <w:rsid w:val="00B745F9"/>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31B5D"/>
    <w:rsid w:val="00C31E76"/>
    <w:rsid w:val="00C32391"/>
    <w:rsid w:val="00C32FBF"/>
    <w:rsid w:val="00C35DD5"/>
    <w:rsid w:val="00C3687E"/>
    <w:rsid w:val="00C368C3"/>
    <w:rsid w:val="00C36F1E"/>
    <w:rsid w:val="00C3719A"/>
    <w:rsid w:val="00C37C31"/>
    <w:rsid w:val="00C45388"/>
    <w:rsid w:val="00C45685"/>
    <w:rsid w:val="00C456CD"/>
    <w:rsid w:val="00C4722B"/>
    <w:rsid w:val="00C50215"/>
    <w:rsid w:val="00C517D3"/>
    <w:rsid w:val="00C52CE9"/>
    <w:rsid w:val="00C5520A"/>
    <w:rsid w:val="00C55691"/>
    <w:rsid w:val="00C556FC"/>
    <w:rsid w:val="00C56E37"/>
    <w:rsid w:val="00C615A0"/>
    <w:rsid w:val="00C6207C"/>
    <w:rsid w:val="00C63D09"/>
    <w:rsid w:val="00C66218"/>
    <w:rsid w:val="00C67A47"/>
    <w:rsid w:val="00C70AE5"/>
    <w:rsid w:val="00C72AA3"/>
    <w:rsid w:val="00C72DFF"/>
    <w:rsid w:val="00C77940"/>
    <w:rsid w:val="00C802BA"/>
    <w:rsid w:val="00C80E5D"/>
    <w:rsid w:val="00C8293C"/>
    <w:rsid w:val="00C82D4B"/>
    <w:rsid w:val="00C82EDE"/>
    <w:rsid w:val="00C835A6"/>
    <w:rsid w:val="00C83AAC"/>
    <w:rsid w:val="00C83D36"/>
    <w:rsid w:val="00C83DB2"/>
    <w:rsid w:val="00C83F5B"/>
    <w:rsid w:val="00C867B8"/>
    <w:rsid w:val="00C876B9"/>
    <w:rsid w:val="00C923F9"/>
    <w:rsid w:val="00C9289B"/>
    <w:rsid w:val="00C93C24"/>
    <w:rsid w:val="00C97667"/>
    <w:rsid w:val="00CA07DC"/>
    <w:rsid w:val="00CA13BB"/>
    <w:rsid w:val="00CA197A"/>
    <w:rsid w:val="00CA1FCA"/>
    <w:rsid w:val="00CA219B"/>
    <w:rsid w:val="00CA28AF"/>
    <w:rsid w:val="00CA4ED1"/>
    <w:rsid w:val="00CA5093"/>
    <w:rsid w:val="00CA7DC6"/>
    <w:rsid w:val="00CB1552"/>
    <w:rsid w:val="00CB18E3"/>
    <w:rsid w:val="00CB3F40"/>
    <w:rsid w:val="00CB5909"/>
    <w:rsid w:val="00CC228E"/>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B6B"/>
    <w:rsid w:val="00CE51CA"/>
    <w:rsid w:val="00CE54DC"/>
    <w:rsid w:val="00CE56E1"/>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5285"/>
    <w:rsid w:val="00D2009D"/>
    <w:rsid w:val="00D203F3"/>
    <w:rsid w:val="00D207EB"/>
    <w:rsid w:val="00D232B8"/>
    <w:rsid w:val="00D24774"/>
    <w:rsid w:val="00D264D0"/>
    <w:rsid w:val="00D27CAD"/>
    <w:rsid w:val="00D30B24"/>
    <w:rsid w:val="00D31A34"/>
    <w:rsid w:val="00D3272B"/>
    <w:rsid w:val="00D34B8E"/>
    <w:rsid w:val="00D355A2"/>
    <w:rsid w:val="00D36D08"/>
    <w:rsid w:val="00D406F7"/>
    <w:rsid w:val="00D441FF"/>
    <w:rsid w:val="00D44CAB"/>
    <w:rsid w:val="00D44F26"/>
    <w:rsid w:val="00D45359"/>
    <w:rsid w:val="00D45D29"/>
    <w:rsid w:val="00D460D6"/>
    <w:rsid w:val="00D47245"/>
    <w:rsid w:val="00D51100"/>
    <w:rsid w:val="00D5373D"/>
    <w:rsid w:val="00D538FA"/>
    <w:rsid w:val="00D5484F"/>
    <w:rsid w:val="00D55ECC"/>
    <w:rsid w:val="00D57293"/>
    <w:rsid w:val="00D60C87"/>
    <w:rsid w:val="00D63C08"/>
    <w:rsid w:val="00D644F8"/>
    <w:rsid w:val="00D64C60"/>
    <w:rsid w:val="00D6745A"/>
    <w:rsid w:val="00D67A13"/>
    <w:rsid w:val="00D722AA"/>
    <w:rsid w:val="00D738FB"/>
    <w:rsid w:val="00D80FC0"/>
    <w:rsid w:val="00D85057"/>
    <w:rsid w:val="00D8517D"/>
    <w:rsid w:val="00D87875"/>
    <w:rsid w:val="00D9141D"/>
    <w:rsid w:val="00D91E08"/>
    <w:rsid w:val="00D92272"/>
    <w:rsid w:val="00D93237"/>
    <w:rsid w:val="00D94A00"/>
    <w:rsid w:val="00D96CB7"/>
    <w:rsid w:val="00D9743F"/>
    <w:rsid w:val="00DA0BDA"/>
    <w:rsid w:val="00DA0DFA"/>
    <w:rsid w:val="00DA16E5"/>
    <w:rsid w:val="00DA3D3A"/>
    <w:rsid w:val="00DA6811"/>
    <w:rsid w:val="00DA6D71"/>
    <w:rsid w:val="00DB0B55"/>
    <w:rsid w:val="00DB2849"/>
    <w:rsid w:val="00DB5484"/>
    <w:rsid w:val="00DB5E74"/>
    <w:rsid w:val="00DB5FF7"/>
    <w:rsid w:val="00DB6EFA"/>
    <w:rsid w:val="00DB7A54"/>
    <w:rsid w:val="00DC3F8A"/>
    <w:rsid w:val="00DC481D"/>
    <w:rsid w:val="00DC49EE"/>
    <w:rsid w:val="00DC6467"/>
    <w:rsid w:val="00DD1D65"/>
    <w:rsid w:val="00DD6BA2"/>
    <w:rsid w:val="00DD6C04"/>
    <w:rsid w:val="00DE2852"/>
    <w:rsid w:val="00DE487B"/>
    <w:rsid w:val="00DE5915"/>
    <w:rsid w:val="00DF0C6F"/>
    <w:rsid w:val="00DF135A"/>
    <w:rsid w:val="00DF15A8"/>
    <w:rsid w:val="00DF22DC"/>
    <w:rsid w:val="00DF24C9"/>
    <w:rsid w:val="00DF38BF"/>
    <w:rsid w:val="00DF3E4B"/>
    <w:rsid w:val="00DF5671"/>
    <w:rsid w:val="00DF6386"/>
    <w:rsid w:val="00DF680F"/>
    <w:rsid w:val="00DF7C61"/>
    <w:rsid w:val="00E0590C"/>
    <w:rsid w:val="00E06CDC"/>
    <w:rsid w:val="00E06E75"/>
    <w:rsid w:val="00E07122"/>
    <w:rsid w:val="00E11752"/>
    <w:rsid w:val="00E11FC5"/>
    <w:rsid w:val="00E12CFE"/>
    <w:rsid w:val="00E1431C"/>
    <w:rsid w:val="00E15F40"/>
    <w:rsid w:val="00E168DD"/>
    <w:rsid w:val="00E17847"/>
    <w:rsid w:val="00E21735"/>
    <w:rsid w:val="00E2468E"/>
    <w:rsid w:val="00E24A2C"/>
    <w:rsid w:val="00E27C6D"/>
    <w:rsid w:val="00E30464"/>
    <w:rsid w:val="00E30537"/>
    <w:rsid w:val="00E305E4"/>
    <w:rsid w:val="00E31BF5"/>
    <w:rsid w:val="00E33864"/>
    <w:rsid w:val="00E362F7"/>
    <w:rsid w:val="00E3630E"/>
    <w:rsid w:val="00E374AA"/>
    <w:rsid w:val="00E40A68"/>
    <w:rsid w:val="00E40D93"/>
    <w:rsid w:val="00E41624"/>
    <w:rsid w:val="00E502D6"/>
    <w:rsid w:val="00E520D2"/>
    <w:rsid w:val="00E547F8"/>
    <w:rsid w:val="00E55B61"/>
    <w:rsid w:val="00E567C9"/>
    <w:rsid w:val="00E56A32"/>
    <w:rsid w:val="00E57CA0"/>
    <w:rsid w:val="00E60482"/>
    <w:rsid w:val="00E634DE"/>
    <w:rsid w:val="00E65602"/>
    <w:rsid w:val="00E66891"/>
    <w:rsid w:val="00E70060"/>
    <w:rsid w:val="00E70164"/>
    <w:rsid w:val="00E7140F"/>
    <w:rsid w:val="00E71C44"/>
    <w:rsid w:val="00E736EF"/>
    <w:rsid w:val="00E757D8"/>
    <w:rsid w:val="00E800BF"/>
    <w:rsid w:val="00E80434"/>
    <w:rsid w:val="00E809F5"/>
    <w:rsid w:val="00E81B1B"/>
    <w:rsid w:val="00E81DE6"/>
    <w:rsid w:val="00E85DA6"/>
    <w:rsid w:val="00E90396"/>
    <w:rsid w:val="00E923AE"/>
    <w:rsid w:val="00E9440D"/>
    <w:rsid w:val="00E94CA1"/>
    <w:rsid w:val="00E96121"/>
    <w:rsid w:val="00E968E8"/>
    <w:rsid w:val="00E96AB9"/>
    <w:rsid w:val="00E97187"/>
    <w:rsid w:val="00E975CD"/>
    <w:rsid w:val="00EA00D2"/>
    <w:rsid w:val="00EA2E2A"/>
    <w:rsid w:val="00EA2E4B"/>
    <w:rsid w:val="00EA2FAC"/>
    <w:rsid w:val="00EA3DE3"/>
    <w:rsid w:val="00EA3DFA"/>
    <w:rsid w:val="00EA421B"/>
    <w:rsid w:val="00EB09E4"/>
    <w:rsid w:val="00EB2543"/>
    <w:rsid w:val="00EB30C6"/>
    <w:rsid w:val="00EB332B"/>
    <w:rsid w:val="00EB34D2"/>
    <w:rsid w:val="00EB47E6"/>
    <w:rsid w:val="00EB6137"/>
    <w:rsid w:val="00EB6EC8"/>
    <w:rsid w:val="00EB75BE"/>
    <w:rsid w:val="00EB7B47"/>
    <w:rsid w:val="00EC088A"/>
    <w:rsid w:val="00EC1A88"/>
    <w:rsid w:val="00EC3C11"/>
    <w:rsid w:val="00EC60B2"/>
    <w:rsid w:val="00EC6103"/>
    <w:rsid w:val="00ED0AA0"/>
    <w:rsid w:val="00ED2279"/>
    <w:rsid w:val="00ED3043"/>
    <w:rsid w:val="00ED5E64"/>
    <w:rsid w:val="00ED70C8"/>
    <w:rsid w:val="00ED7BEF"/>
    <w:rsid w:val="00EE2416"/>
    <w:rsid w:val="00EE2842"/>
    <w:rsid w:val="00EE34A9"/>
    <w:rsid w:val="00EE51F8"/>
    <w:rsid w:val="00EE5FA8"/>
    <w:rsid w:val="00EE717C"/>
    <w:rsid w:val="00EE77C1"/>
    <w:rsid w:val="00EF03E6"/>
    <w:rsid w:val="00F00D54"/>
    <w:rsid w:val="00F0317D"/>
    <w:rsid w:val="00F0345A"/>
    <w:rsid w:val="00F064F4"/>
    <w:rsid w:val="00F070F6"/>
    <w:rsid w:val="00F16E17"/>
    <w:rsid w:val="00F229E5"/>
    <w:rsid w:val="00F27528"/>
    <w:rsid w:val="00F27BB7"/>
    <w:rsid w:val="00F33997"/>
    <w:rsid w:val="00F33B6A"/>
    <w:rsid w:val="00F367B1"/>
    <w:rsid w:val="00F36D34"/>
    <w:rsid w:val="00F36F48"/>
    <w:rsid w:val="00F41B6F"/>
    <w:rsid w:val="00F433E1"/>
    <w:rsid w:val="00F43594"/>
    <w:rsid w:val="00F448A2"/>
    <w:rsid w:val="00F4521A"/>
    <w:rsid w:val="00F45EA4"/>
    <w:rsid w:val="00F45F65"/>
    <w:rsid w:val="00F47102"/>
    <w:rsid w:val="00F4798C"/>
    <w:rsid w:val="00F505DC"/>
    <w:rsid w:val="00F563BE"/>
    <w:rsid w:val="00F56D21"/>
    <w:rsid w:val="00F572F2"/>
    <w:rsid w:val="00F57CB8"/>
    <w:rsid w:val="00F61AA0"/>
    <w:rsid w:val="00F61E6B"/>
    <w:rsid w:val="00F63CB6"/>
    <w:rsid w:val="00F670D9"/>
    <w:rsid w:val="00F71212"/>
    <w:rsid w:val="00F7143A"/>
    <w:rsid w:val="00F7213B"/>
    <w:rsid w:val="00F72E6A"/>
    <w:rsid w:val="00F730B2"/>
    <w:rsid w:val="00F74780"/>
    <w:rsid w:val="00F751F7"/>
    <w:rsid w:val="00F761FE"/>
    <w:rsid w:val="00F76921"/>
    <w:rsid w:val="00F8111B"/>
    <w:rsid w:val="00F81AA8"/>
    <w:rsid w:val="00F827BC"/>
    <w:rsid w:val="00F8426E"/>
    <w:rsid w:val="00F85CD2"/>
    <w:rsid w:val="00F86799"/>
    <w:rsid w:val="00F905EA"/>
    <w:rsid w:val="00F919A9"/>
    <w:rsid w:val="00F92304"/>
    <w:rsid w:val="00F933E3"/>
    <w:rsid w:val="00F94F34"/>
    <w:rsid w:val="00F952A3"/>
    <w:rsid w:val="00F95A21"/>
    <w:rsid w:val="00F96124"/>
    <w:rsid w:val="00F96168"/>
    <w:rsid w:val="00F96B8D"/>
    <w:rsid w:val="00FA0987"/>
    <w:rsid w:val="00FA103F"/>
    <w:rsid w:val="00FA148B"/>
    <w:rsid w:val="00FA24C7"/>
    <w:rsid w:val="00FA2C65"/>
    <w:rsid w:val="00FA3943"/>
    <w:rsid w:val="00FA5DC4"/>
    <w:rsid w:val="00FB11DA"/>
    <w:rsid w:val="00FB1312"/>
    <w:rsid w:val="00FB2C73"/>
    <w:rsid w:val="00FB3083"/>
    <w:rsid w:val="00FB5049"/>
    <w:rsid w:val="00FB5227"/>
    <w:rsid w:val="00FB6BE7"/>
    <w:rsid w:val="00FC0E57"/>
    <w:rsid w:val="00FC1D02"/>
    <w:rsid w:val="00FC2811"/>
    <w:rsid w:val="00FD03E1"/>
    <w:rsid w:val="00FD0470"/>
    <w:rsid w:val="00FD6414"/>
    <w:rsid w:val="00FE0175"/>
    <w:rsid w:val="00FE2869"/>
    <w:rsid w:val="00FE7940"/>
    <w:rsid w:val="00FF2F59"/>
    <w:rsid w:val="00FF3E7F"/>
    <w:rsid w:val="00FF4347"/>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EBDD28-7E9A-4F4A-AB77-622D712C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9609A-F058-4283-A7B0-38B79A45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7425</Words>
  <Characters>42325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74</cp:revision>
  <cp:lastPrinted>2020-03-10T06:35:00Z</cp:lastPrinted>
  <dcterms:created xsi:type="dcterms:W3CDTF">2020-03-03T08:55:00Z</dcterms:created>
  <dcterms:modified xsi:type="dcterms:W3CDTF">2020-03-27T05:49:00Z</dcterms:modified>
</cp:coreProperties>
</file>