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31" w:rsidRPr="00190975" w:rsidRDefault="00F71E31" w:rsidP="00F71E31">
      <w:pPr>
        <w:jc w:val="right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ПРОЕКТ</w:t>
      </w:r>
    </w:p>
    <w:p w:rsidR="00F71E31" w:rsidRPr="00190975" w:rsidRDefault="00F71E31" w:rsidP="00F71E31">
      <w:pPr>
        <w:jc w:val="center"/>
        <w:rPr>
          <w:b/>
          <w:sz w:val="24"/>
          <w:szCs w:val="24"/>
        </w:rPr>
      </w:pPr>
    </w:p>
    <w:p w:rsidR="00F71E31" w:rsidRPr="00190975" w:rsidRDefault="00F71E31" w:rsidP="00F71E31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АДМИНИСТРАЦИЯ МИНЕРАЛОВОДСКОГО</w:t>
      </w:r>
    </w:p>
    <w:p w:rsidR="00F71E31" w:rsidRPr="00190975" w:rsidRDefault="00F71E31" w:rsidP="00F71E31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ГОРОДСКОГО ОКРУГА СТАВРОПОЛЬСКОГО КРАЯ</w:t>
      </w:r>
    </w:p>
    <w:p w:rsidR="00F71E31" w:rsidRPr="00190975" w:rsidRDefault="00F71E31" w:rsidP="00F71E31">
      <w:pPr>
        <w:ind w:firstLine="357"/>
        <w:jc w:val="center"/>
        <w:rPr>
          <w:sz w:val="28"/>
          <w:szCs w:val="28"/>
        </w:rPr>
      </w:pPr>
    </w:p>
    <w:p w:rsidR="00F71E31" w:rsidRPr="00190975" w:rsidRDefault="00F71E31" w:rsidP="00F71E31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F71E31" w:rsidRPr="00190975" w:rsidRDefault="00F71E31" w:rsidP="00F71E31">
      <w:pPr>
        <w:rPr>
          <w:sz w:val="28"/>
          <w:szCs w:val="28"/>
        </w:rPr>
      </w:pPr>
    </w:p>
    <w:p w:rsidR="00F71E31" w:rsidRPr="00190975" w:rsidRDefault="00F71E31" w:rsidP="00F71E31">
      <w:pPr>
        <w:rPr>
          <w:sz w:val="28"/>
          <w:szCs w:val="28"/>
        </w:rPr>
      </w:pPr>
      <w:r w:rsidRPr="00190975">
        <w:rPr>
          <w:sz w:val="28"/>
          <w:szCs w:val="28"/>
        </w:rPr>
        <w:t xml:space="preserve">                 202</w:t>
      </w:r>
      <w:r>
        <w:rPr>
          <w:sz w:val="28"/>
          <w:szCs w:val="28"/>
        </w:rPr>
        <w:t>2</w:t>
      </w:r>
      <w:r w:rsidRPr="00190975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г. Минеральные Воды</w:t>
      </w:r>
      <w:r w:rsidRPr="00190975">
        <w:rPr>
          <w:sz w:val="28"/>
          <w:szCs w:val="28"/>
        </w:rPr>
        <w:t xml:space="preserve">                      №  </w:t>
      </w:r>
    </w:p>
    <w:p w:rsidR="00F71E31" w:rsidRPr="006F555A" w:rsidRDefault="00F71E31" w:rsidP="00F71E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555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</w:t>
      </w:r>
      <w:r>
        <w:rPr>
          <w:sz w:val="28"/>
          <w:szCs w:val="28"/>
        </w:rPr>
        <w:t>о округа Ставропольского края от 18.12.2019 № 2806</w:t>
      </w:r>
    </w:p>
    <w:p w:rsidR="00F71E31" w:rsidRPr="008B3FB8" w:rsidRDefault="00F71E31" w:rsidP="00F71E3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1E31" w:rsidRPr="006F555A" w:rsidRDefault="00F71E31" w:rsidP="00F71E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19BB">
        <w:rPr>
          <w:sz w:val="28"/>
          <w:szCs w:val="28"/>
        </w:rPr>
        <w:t xml:space="preserve"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</w:t>
      </w:r>
      <w:r>
        <w:rPr>
          <w:sz w:val="28"/>
          <w:szCs w:val="28"/>
        </w:rPr>
        <w:t xml:space="preserve">              </w:t>
      </w:r>
      <w:r w:rsidRPr="002119BB">
        <w:rPr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</w:t>
      </w:r>
      <w:r>
        <w:rPr>
          <w:sz w:val="28"/>
          <w:szCs w:val="28"/>
        </w:rPr>
        <w:t xml:space="preserve"> </w:t>
      </w:r>
      <w:r w:rsidRPr="00366563">
        <w:rPr>
          <w:b/>
          <w:spacing w:val="20"/>
          <w:sz w:val="28"/>
          <w:szCs w:val="28"/>
        </w:rPr>
        <w:t>постановляет:</w:t>
      </w:r>
    </w:p>
    <w:p w:rsidR="00F71E31" w:rsidRPr="000F1BF4" w:rsidRDefault="00F71E31" w:rsidP="00F71E31">
      <w:pPr>
        <w:spacing w:line="240" w:lineRule="atLeast"/>
        <w:jc w:val="both"/>
        <w:rPr>
          <w:spacing w:val="20"/>
          <w:sz w:val="28"/>
          <w:szCs w:val="28"/>
        </w:rPr>
      </w:pPr>
    </w:p>
    <w:p w:rsidR="00F71E31" w:rsidRDefault="00F71E31" w:rsidP="00F71E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F555A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     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№ 1361, от 18.08.2021 № 1752, от 28.09.2021 № 1974, от 28.10.2021 № 2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2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69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,</w:t>
      </w:r>
      <w:r w:rsidRPr="004E4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119BB">
        <w:rPr>
          <w:sz w:val="28"/>
          <w:szCs w:val="28"/>
        </w:rPr>
        <w:t>14.12.2021 № 2617</w:t>
      </w:r>
      <w:r>
        <w:rPr>
          <w:sz w:val="28"/>
          <w:szCs w:val="28"/>
        </w:rPr>
        <w:t xml:space="preserve">, </w:t>
      </w:r>
      <w:r w:rsidRPr="002119BB">
        <w:rPr>
          <w:sz w:val="28"/>
          <w:szCs w:val="28"/>
        </w:rPr>
        <w:t>от 16.12.2021 № 2676, от 24.01.2022 № 65</w:t>
      </w:r>
      <w:r>
        <w:rPr>
          <w:sz w:val="28"/>
          <w:szCs w:val="28"/>
        </w:rPr>
        <w:t xml:space="preserve">, от </w:t>
      </w:r>
      <w:r w:rsidRPr="002119BB">
        <w:rPr>
          <w:sz w:val="28"/>
          <w:szCs w:val="28"/>
        </w:rPr>
        <w:t>17.02.2022</w:t>
      </w:r>
      <w:r>
        <w:rPr>
          <w:sz w:val="28"/>
          <w:szCs w:val="28"/>
        </w:rPr>
        <w:t xml:space="preserve">               № </w:t>
      </w:r>
      <w:r w:rsidRPr="002119BB">
        <w:rPr>
          <w:sz w:val="28"/>
          <w:szCs w:val="28"/>
        </w:rPr>
        <w:t>226</w:t>
      </w:r>
      <w:r>
        <w:rPr>
          <w:sz w:val="28"/>
          <w:szCs w:val="28"/>
        </w:rPr>
        <w:t xml:space="preserve">, от </w:t>
      </w:r>
      <w:r w:rsidRPr="00961CEC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961CEC">
        <w:rPr>
          <w:sz w:val="28"/>
          <w:szCs w:val="28"/>
        </w:rPr>
        <w:t>№ 1176</w:t>
      </w:r>
      <w:r>
        <w:rPr>
          <w:sz w:val="28"/>
          <w:szCs w:val="28"/>
        </w:rPr>
        <w:t>, от 02.11.2022 № 2512, от 09.12.2022 № 2891</w:t>
      </w:r>
      <w:r w:rsidRPr="00C00B9B">
        <w:rPr>
          <w:sz w:val="28"/>
          <w:szCs w:val="28"/>
        </w:rPr>
        <w:t>).</w:t>
      </w:r>
    </w:p>
    <w:p w:rsidR="00F71E31" w:rsidRPr="00625644" w:rsidRDefault="00F71E31" w:rsidP="00F71E31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 w:rsidRPr="00625644">
        <w:rPr>
          <w:sz w:val="28"/>
          <w:szCs w:val="28"/>
        </w:rPr>
        <w:t>администрации Минераловодского городского округа Пикалову О.М.</w:t>
      </w:r>
    </w:p>
    <w:p w:rsidR="00F71E31" w:rsidRPr="006F555A" w:rsidRDefault="00F71E31" w:rsidP="00F71E31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25644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с 1 января 2023 года.</w:t>
      </w:r>
    </w:p>
    <w:p w:rsidR="00F71E31" w:rsidRPr="002D5224" w:rsidRDefault="00F71E31" w:rsidP="00F71E31">
      <w:pPr>
        <w:snapToGrid w:val="0"/>
        <w:jc w:val="both"/>
        <w:rPr>
          <w:sz w:val="28"/>
          <w:szCs w:val="28"/>
        </w:rPr>
      </w:pPr>
    </w:p>
    <w:p w:rsidR="00F71E31" w:rsidRPr="002D5224" w:rsidRDefault="00F71E31" w:rsidP="00F71E31">
      <w:pPr>
        <w:snapToGrid w:val="0"/>
        <w:jc w:val="both"/>
        <w:rPr>
          <w:sz w:val="28"/>
          <w:szCs w:val="28"/>
        </w:rPr>
      </w:pPr>
    </w:p>
    <w:p w:rsidR="00F71E31" w:rsidRPr="002D5224" w:rsidRDefault="00F71E31" w:rsidP="00F71E31">
      <w:pPr>
        <w:snapToGrid w:val="0"/>
        <w:jc w:val="both"/>
        <w:rPr>
          <w:sz w:val="28"/>
          <w:szCs w:val="28"/>
        </w:rPr>
      </w:pPr>
    </w:p>
    <w:p w:rsidR="00F71E31" w:rsidRPr="00961CEC" w:rsidRDefault="00F71E31" w:rsidP="00F71E31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Глава Минераловодского </w:t>
      </w:r>
    </w:p>
    <w:p w:rsidR="00F71E31" w:rsidRDefault="00F71E31" w:rsidP="00F71E31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городского округа                                            </w:t>
      </w:r>
      <w:r>
        <w:rPr>
          <w:sz w:val="28"/>
          <w:szCs w:val="28"/>
        </w:rPr>
        <w:t xml:space="preserve">                  </w:t>
      </w:r>
      <w:r w:rsidRPr="00961C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61CEC">
        <w:rPr>
          <w:sz w:val="28"/>
          <w:szCs w:val="28"/>
        </w:rPr>
        <w:t xml:space="preserve">    В. С. Сергиенко</w:t>
      </w:r>
    </w:p>
    <w:p w:rsidR="00F71E31" w:rsidRDefault="00F71E31" w:rsidP="00F71E31">
      <w:r>
        <w:br w:type="page"/>
      </w:r>
    </w:p>
    <w:p w:rsidR="00F71E31" w:rsidRPr="00190975" w:rsidRDefault="00F71E31" w:rsidP="00F71E31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УТВЕРЖДЕНЫ</w:t>
      </w:r>
    </w:p>
    <w:p w:rsidR="00F71E31" w:rsidRPr="00190975" w:rsidRDefault="00F71E31" w:rsidP="00F71E31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t>постановлением администрации</w:t>
      </w:r>
    </w:p>
    <w:p w:rsidR="00F71E31" w:rsidRPr="00190975" w:rsidRDefault="00F71E31" w:rsidP="00F71E31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t>Минераловодского городского округа</w:t>
      </w:r>
    </w:p>
    <w:p w:rsidR="00F71E31" w:rsidRPr="00190975" w:rsidRDefault="00F71E31" w:rsidP="00F71E31">
      <w:pPr>
        <w:ind w:left="4820"/>
        <w:rPr>
          <w:sz w:val="28"/>
          <w:szCs w:val="28"/>
        </w:rPr>
      </w:pPr>
      <w:r w:rsidRPr="00190975">
        <w:rPr>
          <w:sz w:val="28"/>
          <w:szCs w:val="28"/>
        </w:rPr>
        <w:t xml:space="preserve">от                             №       </w:t>
      </w:r>
    </w:p>
    <w:p w:rsidR="00F71E31" w:rsidRPr="00190975" w:rsidRDefault="00F71E31" w:rsidP="00F71E31">
      <w:pPr>
        <w:ind w:left="4820"/>
        <w:jc w:val="center"/>
        <w:rPr>
          <w:sz w:val="28"/>
          <w:szCs w:val="28"/>
        </w:rPr>
      </w:pPr>
    </w:p>
    <w:p w:rsidR="00F71E31" w:rsidRPr="00190975" w:rsidRDefault="00F71E31" w:rsidP="00F71E31">
      <w:pPr>
        <w:jc w:val="center"/>
        <w:rPr>
          <w:sz w:val="28"/>
          <w:szCs w:val="28"/>
        </w:rPr>
      </w:pPr>
    </w:p>
    <w:p w:rsidR="00F71E31" w:rsidRPr="00190975" w:rsidRDefault="00F71E31" w:rsidP="00F71E31">
      <w:pPr>
        <w:jc w:val="center"/>
        <w:rPr>
          <w:sz w:val="28"/>
          <w:szCs w:val="28"/>
        </w:rPr>
      </w:pPr>
    </w:p>
    <w:p w:rsidR="00F71E31" w:rsidRPr="00190975" w:rsidRDefault="00F71E31" w:rsidP="00F71E31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ИЗМЕНЕНИЯ,</w:t>
      </w:r>
    </w:p>
    <w:p w:rsidR="00F71E31" w:rsidRPr="00190975" w:rsidRDefault="00F71E31" w:rsidP="00F71E31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F71E31" w:rsidRDefault="00F71E31" w:rsidP="00F71E31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</w:t>
      </w:r>
      <w:r w:rsidRPr="003E2EC9">
        <w:rPr>
          <w:sz w:val="28"/>
          <w:szCs w:val="28"/>
        </w:rPr>
        <w:t>от 10.03.2020                 № 476, от 25.03.2020 № 604, от 22.06.2020 № 1198, от 29.07.2020 № 1426, от 18.12.2020 № 2774, от 15.02.2021 № 278, от 24.02.2021 № 351, от 29.06.2021                 № 1361, от 18.08.2021 № 1752, от 28.09.2021 № 1974, от 28.10.2021 № 2269, от 14.12.2021 № 2617, от 16.12.2021 № 2676, от 24.01.2022 № 65, от 17.02.2022                 № 226, от 26.05.2022 № 1176, от 02.11.2022 № 2512</w:t>
      </w:r>
      <w:r>
        <w:rPr>
          <w:sz w:val="28"/>
          <w:szCs w:val="28"/>
        </w:rPr>
        <w:t xml:space="preserve">, </w:t>
      </w:r>
      <w:r w:rsidRPr="00F26915">
        <w:rPr>
          <w:sz w:val="28"/>
          <w:szCs w:val="28"/>
        </w:rPr>
        <w:t>от 09.12.2022 №</w:t>
      </w:r>
      <w:r>
        <w:rPr>
          <w:sz w:val="28"/>
          <w:szCs w:val="28"/>
        </w:rPr>
        <w:t xml:space="preserve"> </w:t>
      </w:r>
      <w:r w:rsidRPr="00F26915">
        <w:rPr>
          <w:sz w:val="28"/>
          <w:szCs w:val="28"/>
        </w:rPr>
        <w:t>2891</w:t>
      </w:r>
      <w:r w:rsidRPr="003E2EC9">
        <w:rPr>
          <w:sz w:val="28"/>
          <w:szCs w:val="28"/>
        </w:rPr>
        <w:t>)</w:t>
      </w:r>
    </w:p>
    <w:p w:rsidR="00F71E31" w:rsidRPr="00190975" w:rsidRDefault="00F71E31" w:rsidP="00F71E31">
      <w:pPr>
        <w:jc w:val="center"/>
        <w:rPr>
          <w:sz w:val="28"/>
          <w:szCs w:val="28"/>
        </w:rPr>
      </w:pPr>
    </w:p>
    <w:p w:rsidR="00F71E31" w:rsidRPr="00190975" w:rsidRDefault="00F71E31" w:rsidP="00F71E31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1. Паспорт и текстовую часть 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F71E31" w:rsidRPr="00190975" w:rsidRDefault="00F71E31" w:rsidP="00F71E31">
      <w:pPr>
        <w:ind w:firstLine="709"/>
        <w:jc w:val="both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>2. П</w:t>
      </w:r>
      <w:r w:rsidRPr="00190975">
        <w:rPr>
          <w:sz w:val="28"/>
          <w:szCs w:val="28"/>
        </w:rPr>
        <w:t>аспорт и текстовую часть Подпрограммы 1 изложить в редакции,</w:t>
      </w:r>
      <w:r w:rsidRPr="00190975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F71E31" w:rsidRPr="00190975" w:rsidRDefault="00F71E31" w:rsidP="00F71E31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3. Т</w:t>
      </w:r>
      <w:r w:rsidRPr="00190975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F71E31" w:rsidRPr="00190975" w:rsidRDefault="00F71E31" w:rsidP="00F71E31">
      <w:pPr>
        <w:ind w:firstLine="709"/>
        <w:jc w:val="both"/>
        <w:rPr>
          <w:sz w:val="28"/>
          <w:szCs w:val="28"/>
        </w:rPr>
      </w:pPr>
      <w:r w:rsidRPr="00190975">
        <w:rPr>
          <w:bCs/>
          <w:sz w:val="28"/>
          <w:szCs w:val="28"/>
        </w:rPr>
        <w:t xml:space="preserve">4. Приложение 2 </w:t>
      </w:r>
      <w:r w:rsidRPr="00190975">
        <w:rPr>
          <w:sz w:val="28"/>
          <w:szCs w:val="28"/>
        </w:rPr>
        <w:t>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4 к настоящим изменениям. </w:t>
      </w:r>
      <w:r w:rsidRPr="00190975">
        <w:rPr>
          <w:sz w:val="28"/>
          <w:szCs w:val="28"/>
        </w:rPr>
        <w:t xml:space="preserve"> </w:t>
      </w:r>
    </w:p>
    <w:p w:rsidR="00F71E31" w:rsidRPr="00190975" w:rsidRDefault="00F71E31" w:rsidP="00F71E31">
      <w:pPr>
        <w:jc w:val="both"/>
        <w:rPr>
          <w:sz w:val="28"/>
          <w:szCs w:val="28"/>
        </w:rPr>
      </w:pPr>
    </w:p>
    <w:p w:rsidR="00F71E31" w:rsidRDefault="00F71E31" w:rsidP="00F71E31">
      <w:r>
        <w:br w:type="page"/>
      </w:r>
    </w:p>
    <w:p w:rsidR="00F71E31" w:rsidRDefault="00F71E31" w:rsidP="00F71E31">
      <w:pPr>
        <w:widowControl w:val="0"/>
        <w:spacing w:line="240" w:lineRule="exact"/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изменениям, которые вносятся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муниципальную программу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>
        <w:rPr>
          <w:sz w:val="26"/>
          <w:szCs w:val="26"/>
        </w:rPr>
        <w:t>от 18.12.2019 № 2806</w:t>
      </w:r>
    </w:p>
    <w:p w:rsidR="00F71E31" w:rsidRDefault="00F71E31" w:rsidP="00F71E31">
      <w:pPr>
        <w:ind w:firstLine="4678"/>
        <w:rPr>
          <w:sz w:val="28"/>
          <w:szCs w:val="28"/>
        </w:rPr>
      </w:pPr>
    </w:p>
    <w:p w:rsidR="00F71E31" w:rsidRDefault="00F71E31" w:rsidP="00F71E31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МУНИЦИПАЛЬНАЯ ПРОГРАММА 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Минераловодского городского округа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ПАСПОРТ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муниципальной программы 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Минераловодского городского округа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F71E31" w:rsidRDefault="00F71E31" w:rsidP="00F71E3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158"/>
      </w:tblGrid>
      <w:tr w:rsidR="00F71E31" w:rsidTr="007E6E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Индикаторы достижения цели Программы 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реализации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финансового обеспечения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Ожидаемые конечные результаты реализации    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нет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«Обеспечение реализации программы и общепрограммные мероприятия» 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 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tabs>
                <w:tab w:val="left" w:pos="51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2020-2025 годы 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ind w:firstLine="374"/>
              <w:jc w:val="both"/>
              <w:rPr>
                <w:sz w:val="28"/>
                <w:szCs w:val="28"/>
                <w:lang w:eastAsia="en-US"/>
              </w:rPr>
            </w:pP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финансового обеспечения Программы составит 230 937,50 тыс. рублей, в том числе по годам: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34 709,08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26 915,95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32 808,97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50 820,21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42 814,26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42 869,03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финансового обеспечения: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Минераловодского городского округа – 229 875,18 тыс. рублей, в том числе по годам: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34 597,04 тыс. рублей;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26 765,67 тыс. рублей;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32 608,97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50 620,21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42 614,26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42 669,03 тыс. рублей.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 – 86,29 тыс. рублей, в том числе по годам: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00,00 тыс. рублей;                                              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39,07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47,22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00,00 тыс. рублей;            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00,00 тыс. рублей;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00,00 тыс. рублей.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 – 229 788,89 тыс. рублей, в том числе по годам: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34 597,04 тыс. рублей;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26 726,60 тыс. рублей; 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32 561,75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50 620,21 тыс. рублей;</w:t>
            </w:r>
          </w:p>
          <w:p w:rsidR="00F71E31" w:rsidRDefault="00F71E31" w:rsidP="007E6E4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42 614,26 тыс. рублей;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42 669,03 тыс. рублей.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внебюджетных источников –                       1 062,32 тыс. рублей, в том числе по годам: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112,04 тыс. рублей; 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150,28 тыс. рублей; 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2022 год – 200,00 тыс. рублей;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200,00 тыс. рублей;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200,00 тыс. рублей;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200,00 тыс. рублей.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участников Программы – 178 074,77 тыс. рублей, в том числе по годам: 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22 116,83 тыс. рублей;                                               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23 040,28 тыс. рублей;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28 926,95 тыс. рублей;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36 178,79 тыс. рублей;             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33 878,58 тыс. рублей; 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33 933,34 тыс. рублей.</w:t>
            </w:r>
          </w:p>
          <w:p w:rsidR="00F71E31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F71E31" w:rsidRDefault="00F71E31" w:rsidP="007E6E4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F71E31" w:rsidRDefault="00F71E31" w:rsidP="007E6E44">
            <w:pPr>
              <w:tabs>
                <w:tab w:val="left" w:pos="37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населения Минераловодского городского округа систематически занимающегося физической культурой и спортом с 55,3 процентов в 2021 году до 56 процентов к 2025 году.</w:t>
            </w:r>
          </w:p>
          <w:p w:rsidR="00F71E31" w:rsidRDefault="00F71E31" w:rsidP="007E6E44">
            <w:pPr>
              <w:tabs>
                <w:tab w:val="left" w:pos="37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71E31" w:rsidRDefault="00F71E31" w:rsidP="00F71E31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Приоритетами в сфере реализации Программы являются: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подпрограмма «Обеспечение реализации программы и общепрограммные мероприятия», информация приведена в таблицах 2 и 3 приложения 1 к Программе.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 достижении той же цели Программы, приведены в приложении 2 к Программе.</w:t>
      </w: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F71E31" w:rsidRDefault="00F71E31" w:rsidP="00F71E31">
      <w:pPr>
        <w:widowControl w:val="0"/>
        <w:spacing w:line="240" w:lineRule="exact"/>
        <w:ind w:left="4536"/>
        <w:rPr>
          <w:sz w:val="28"/>
          <w:szCs w:val="28"/>
        </w:rPr>
      </w:pPr>
    </w:p>
    <w:p w:rsidR="00F71E31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F71E31" w:rsidRDefault="00F71E31" w:rsidP="00F71E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1E31" w:rsidRPr="00190975" w:rsidRDefault="00F71E31" w:rsidP="00F71E31">
      <w:pPr>
        <w:widowControl w:val="0"/>
        <w:spacing w:line="240" w:lineRule="exact"/>
        <w:ind w:left="4536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left="4536"/>
        <w:rPr>
          <w:rFonts w:eastAsia="Calibri"/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ПОДПРОГРАММА 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ПАСПОРТ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575"/>
      </w:tblGrid>
      <w:tr w:rsidR="00F71E31" w:rsidRPr="003E2EC9" w:rsidTr="007E6E4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исполнитель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7904AD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40"/>
                <w:szCs w:val="40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2"/>
              </w:rPr>
              <w:t>нет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«ЦФКиС МГО»)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E2EC9">
              <w:rPr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F71E31" w:rsidRPr="003E2EC9" w:rsidRDefault="00F71E31" w:rsidP="007E6E44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E2EC9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Минераловодском городском округе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3E2EC9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3E2EC9">
              <w:rPr>
                <w:rFonts w:eastAsia="Calibri"/>
                <w:sz w:val="28"/>
                <w:szCs w:val="28"/>
              </w:rPr>
              <w:t xml:space="preserve"> официальных муниципальных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 xml:space="preserve">физкультурно-массовых и спортивно-массовых мероприятий по различным видам спорта; 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3E2EC9">
              <w:rPr>
                <w:sz w:val="28"/>
                <w:szCs w:val="28"/>
                <w:shd w:val="clear" w:color="auto" w:fill="FFFFFF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3E2EC9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3E2EC9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3E2EC9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получивших (подтвердивших) разряд «кандидат в мастера спорта» (КМС), звание «мастер спорта» (МС);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lastRenderedPageBreak/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групп в МБУ «ЦФКиС МГО»;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организованных и проведенных МБУ «ЦФКиС МГО» спортивно-массовых и физкультурно-оздоровительных мероприятий, согласно календарного плана учреждения;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F71E31" w:rsidRPr="003E2EC9" w:rsidRDefault="00F71E31" w:rsidP="007E6E44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F71E31" w:rsidRPr="007904AD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F71E31" w:rsidRPr="003E2EC9" w:rsidRDefault="00F71E31" w:rsidP="007E6E44">
            <w:pPr>
              <w:ind w:right="3"/>
              <w:jc w:val="both"/>
              <w:rPr>
                <w:sz w:val="28"/>
                <w:szCs w:val="28"/>
              </w:rPr>
            </w:pPr>
          </w:p>
          <w:p w:rsidR="00F71E31" w:rsidRPr="003E2EC9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Объем финансового обеспечения Подпрограммы 1 составит 212 122,43 тыс. рублей, в том числе по годам: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31 542,52 тыс. рублей; 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23 984,43 тыс. рублей; 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29 817,51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47 578,37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39 572,42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39 627,18 тыс. рублей.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Бюджет Минераловодского городского округа – 211 060,11 тыс. рублей, в том числе по годам: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31 430,48 тыс. рублей; 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23 834,15 тыс. рублей; 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29 617,51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47 378,37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39 372,42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lastRenderedPageBreak/>
              <w:t>2025 год – 39 427,18 тыс. рублей.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местный бюджет – 211 060,11 тыс. рублей, в том числе по годам: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31 430,48 тыс. рублей; 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23 834,15 тыс. рублей; 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29 617,51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47 378,37 тыс. рублей;</w:t>
            </w:r>
          </w:p>
          <w:p w:rsidR="00F71E31" w:rsidRPr="00911548" w:rsidRDefault="00F71E31" w:rsidP="007E6E44">
            <w:pPr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39 372,42 тыс. рублей;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39 427,18 тыс. рублей.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Средства внебюджетных источников – 1 062,32 тыс. рублей, в том числе по годам: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112,04 тыс. рублей; 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2021 год – 150,28 тыс. рублей; 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200,00 тыс. рублей;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200,00 тыс. рублей;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2024 год – 200,00 тыс. рублей;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2025 год – 200,00 тыс. рублей.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Средства участников Программы – 178 074,77 тыс. рублей, в том числе по годам: 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2021 год – 23 040,28 тыс. рублей;</w:t>
            </w:r>
          </w:p>
          <w:p w:rsidR="00F71E31" w:rsidRPr="00911548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2022 год – 28 926,95 тыс. рублей;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911548">
              <w:rPr>
                <w:sz w:val="28"/>
                <w:szCs w:val="28"/>
              </w:rPr>
              <w:t>2023 год – 36 178,79 тыс. рублей;</w:t>
            </w:r>
            <w:r w:rsidRPr="003E2EC9">
              <w:rPr>
                <w:sz w:val="28"/>
                <w:szCs w:val="28"/>
              </w:rPr>
              <w:t xml:space="preserve">             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2024 год – </w:t>
            </w:r>
            <w:r w:rsidRPr="000512A2">
              <w:rPr>
                <w:sz w:val="28"/>
                <w:szCs w:val="28"/>
              </w:rPr>
              <w:t>33 878,58</w:t>
            </w:r>
            <w:r w:rsidRPr="003E2EC9">
              <w:rPr>
                <w:sz w:val="28"/>
                <w:szCs w:val="28"/>
              </w:rPr>
              <w:t xml:space="preserve"> тыс. рублей; 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2025 год – </w:t>
            </w:r>
            <w:r w:rsidRPr="000512A2">
              <w:rPr>
                <w:sz w:val="28"/>
                <w:szCs w:val="28"/>
              </w:rPr>
              <w:t>33 933,34</w:t>
            </w:r>
            <w:r w:rsidRPr="003E2EC9">
              <w:rPr>
                <w:sz w:val="28"/>
                <w:szCs w:val="28"/>
              </w:rPr>
              <w:t xml:space="preserve"> тыс. рублей.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F71E31" w:rsidRPr="003E2EC9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3E2EC9">
              <w:rPr>
                <w:sz w:val="28"/>
                <w:szCs w:val="28"/>
              </w:rPr>
              <w:t xml:space="preserve"> с 48 единиц в 2021 году до 55 единиц в 2025 году;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3E2EC9">
              <w:rPr>
                <w:sz w:val="28"/>
                <w:szCs w:val="28"/>
              </w:rPr>
              <w:t xml:space="preserve"> с 10 единиц в 2021 году до 14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</w:t>
            </w:r>
            <w:r w:rsidRPr="003E2EC9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 xml:space="preserve">городского округа (далее – обучающиеся), систематически занимающихся физической культурой и спортом, в общей численности обучающихся с </w:t>
            </w:r>
            <w:r w:rsidRPr="003E2EC9">
              <w:rPr>
                <w:sz w:val="28"/>
                <w:szCs w:val="28"/>
              </w:rPr>
              <w:t>83,7 процентов в 2021 году до 85,0 процентов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3E2EC9">
              <w:rPr>
                <w:sz w:val="28"/>
                <w:szCs w:val="28"/>
              </w:rPr>
              <w:t xml:space="preserve"> с 65/5 человек в 2021 году до 100/10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сохранение </w:t>
            </w:r>
            <w:r w:rsidRPr="003E2EC9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3E2EC9">
              <w:rPr>
                <w:sz w:val="28"/>
                <w:szCs w:val="28"/>
              </w:rPr>
              <w:t xml:space="preserve"> с 3 места в 2021 году до 3 места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</w:t>
            </w:r>
            <w:r w:rsidRPr="003E2EC9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65 процентов в 2021 году до 80 процентов в 2025 году;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3E2EC9">
              <w:rPr>
                <w:sz w:val="28"/>
                <w:szCs w:val="28"/>
              </w:rPr>
              <w:t xml:space="preserve"> с 247 человек в 2021 году до 255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3E2EC9">
              <w:rPr>
                <w:sz w:val="28"/>
                <w:szCs w:val="28"/>
              </w:rPr>
              <w:t xml:space="preserve"> с 9 человек в 2021 году до 10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</w:t>
            </w:r>
            <w:r w:rsidRPr="003E2EC9">
              <w:rPr>
                <w:sz w:val="28"/>
                <w:szCs w:val="28"/>
              </w:rPr>
              <w:t xml:space="preserve"> с 45 единиц в 2021 году до 50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3E2EC9">
              <w:rPr>
                <w:sz w:val="28"/>
                <w:szCs w:val="28"/>
              </w:rPr>
              <w:t xml:space="preserve"> с 1400 человек в 2021 году до 1450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 xml:space="preserve">призовых мест, занятых учащимися ДЮСШ в соревнованиях местного </w:t>
            </w:r>
            <w:r w:rsidRPr="003E2EC9">
              <w:rPr>
                <w:rFonts w:eastAsia="Calibri"/>
                <w:sz w:val="28"/>
                <w:szCs w:val="28"/>
              </w:rPr>
              <w:lastRenderedPageBreak/>
              <w:t>уровня</w:t>
            </w:r>
            <w:r w:rsidRPr="003E2EC9">
              <w:rPr>
                <w:sz w:val="28"/>
                <w:szCs w:val="28"/>
              </w:rPr>
              <w:t xml:space="preserve"> с 245 единиц в 2021 году до 250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</w:t>
            </w:r>
            <w:r w:rsidRPr="003E2EC9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3E2EC9">
              <w:rPr>
                <w:sz w:val="28"/>
                <w:szCs w:val="28"/>
              </w:rPr>
              <w:t xml:space="preserve"> с 31 единицы в 2021 году до 33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3E2EC9">
              <w:rPr>
                <w:sz w:val="28"/>
                <w:szCs w:val="28"/>
              </w:rPr>
              <w:t>с 310 человек в 2021 году до 315 человек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3E2EC9">
              <w:rPr>
                <w:sz w:val="28"/>
                <w:szCs w:val="28"/>
              </w:rPr>
              <w:t xml:space="preserve"> с 75 единиц в 2021 году до 80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323 человек в 2021 году до 340 человек в 2025 году;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групп в МБУ «ЦФКиС МГО» с 30 единиц в 2021 году до 31</w:t>
            </w:r>
            <w:r w:rsidRPr="003E2EC9">
              <w:rPr>
                <w:sz w:val="28"/>
                <w:szCs w:val="28"/>
              </w:rPr>
              <w:t xml:space="preserve"> единицы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количества</w:t>
            </w:r>
            <w:r w:rsidRPr="003E2EC9">
              <w:rPr>
                <w:rFonts w:eastAsia="Calibri"/>
                <w:sz w:val="28"/>
                <w:szCs w:val="28"/>
              </w:rPr>
              <w:t xml:space="preserve"> организованных и проведенных МБУ «ЦФКиС МГО» спортивно-массовых и физкультурно-оздоровительных мероприятий, согласно календарного плана учреждения с 20 единиц в 2021 году до 25</w:t>
            </w:r>
            <w:r w:rsidRPr="003E2EC9">
              <w:rPr>
                <w:sz w:val="28"/>
                <w:szCs w:val="28"/>
              </w:rPr>
              <w:t xml:space="preserve"> единиц в 2025 году</w:t>
            </w:r>
            <w:r w:rsidRPr="003E2EC9">
              <w:rPr>
                <w:rFonts w:eastAsia="Calibri"/>
                <w:sz w:val="28"/>
                <w:szCs w:val="28"/>
              </w:rPr>
              <w:t>;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2021 году до 180 единиц в 2025 году; </w:t>
            </w:r>
          </w:p>
          <w:p w:rsidR="00F71E31" w:rsidRPr="003E2EC9" w:rsidRDefault="00F71E31" w:rsidP="007E6E44">
            <w:pPr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="Calibri"/>
                <w:sz w:val="28"/>
                <w:szCs w:val="28"/>
              </w:rPr>
            </w:pPr>
            <w:r w:rsidRPr="003E2EC9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10 процентов в 2021 году до 70 процентов в 2025 году.</w:t>
            </w:r>
          </w:p>
        </w:tc>
      </w:tr>
    </w:tbl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E2EC9">
        <w:rPr>
          <w:sz w:val="28"/>
          <w:szCs w:val="28"/>
        </w:rPr>
        <w:t xml:space="preserve">Характеристика основных мероприятий Подпрограммы 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F71E31" w:rsidRPr="003E2EC9" w:rsidRDefault="00F71E31" w:rsidP="00F71E31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развитие футбола;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реализации комплекса «Готов к труду и обороне».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48 единиц в 2021 году до 55 единиц в 2025 году;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10 единиц в 2021 году до 14 единиц в 2025 году;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доли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 с 83,7 процентов в 2021 году до 85,0 процентов в 2025 году;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65/5 человек в 2021 году до 100/10 человек в 2025 году;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сохранение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3 места в 2021 году до 3 места в 2025 году;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65 процентов в 2021 году до 80 процентов в 2025 году.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lastRenderedPageBreak/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обеспечение  реализации Указов Президента Российской Федерации от 07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годы».</w:t>
      </w:r>
    </w:p>
    <w:p w:rsidR="00F71E31" w:rsidRPr="003E2EC9" w:rsidRDefault="00F71E31" w:rsidP="00F71E31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учащихся МКУ ДО ДЮСШ г. Минеральные Воды (далее – ДЮСШ), получивших (подтвердивших) массовые спортивные разряды</w:t>
      </w:r>
      <w:r w:rsidRPr="003E2EC9">
        <w:rPr>
          <w:sz w:val="28"/>
          <w:szCs w:val="28"/>
        </w:rPr>
        <w:t xml:space="preserve"> с 247 человек в 2021 году до 255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учащихся ДЮСШ, получивших (подтвердивших) разряд «кандидат в мастера спорта» (КМС), звание «мастер спорта» (МС)</w:t>
      </w:r>
      <w:r w:rsidRPr="003E2EC9">
        <w:rPr>
          <w:sz w:val="28"/>
          <w:szCs w:val="28"/>
        </w:rPr>
        <w:t xml:space="preserve"> с 9 человек в 2021 году до 10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</w:t>
      </w:r>
      <w:r w:rsidRPr="003E2EC9">
        <w:rPr>
          <w:sz w:val="28"/>
          <w:szCs w:val="28"/>
        </w:rPr>
        <w:t xml:space="preserve"> с 45 единиц в 2021 году до 50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учащихся ДЮСШ, принявших участие в соревнованиях местного уровня</w:t>
      </w:r>
      <w:r w:rsidRPr="003E2EC9">
        <w:rPr>
          <w:sz w:val="28"/>
          <w:szCs w:val="28"/>
        </w:rPr>
        <w:t xml:space="preserve"> с 1400 человек в 2021 году до 1450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призовых мест, занятых учащимися ДЮСШ в соревнованиях местного уровня</w:t>
      </w:r>
      <w:r w:rsidRPr="003E2EC9">
        <w:rPr>
          <w:sz w:val="28"/>
          <w:szCs w:val="28"/>
        </w:rPr>
        <w:t xml:space="preserve"> с 245 единиц в 2021 году до 250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 xml:space="preserve">увеличение количества </w:t>
      </w:r>
      <w:r w:rsidRPr="003E2EC9">
        <w:rPr>
          <w:rFonts w:eastAsia="Calibri"/>
          <w:sz w:val="28"/>
          <w:szCs w:val="28"/>
        </w:rPr>
        <w:t>соревнований, включенных в краевой календарный план (далее – краевые соревнования), в которых приняли участие учащиеся ДЮСШ</w:t>
      </w:r>
      <w:r w:rsidRPr="003E2EC9">
        <w:rPr>
          <w:sz w:val="28"/>
          <w:szCs w:val="28"/>
        </w:rPr>
        <w:t xml:space="preserve"> с 31 единицы в 2021 году до 33 единиц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3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 xml:space="preserve">увеличение количества учащихся ДЮСШ, принявших участие в краевых соревнованиях </w:t>
      </w:r>
      <w:r w:rsidRPr="003E2EC9">
        <w:rPr>
          <w:sz w:val="28"/>
          <w:szCs w:val="28"/>
        </w:rPr>
        <w:t>с 310 человек в 2021 году до 315 человек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0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rFonts w:eastAsia="Calibri"/>
          <w:sz w:val="28"/>
          <w:szCs w:val="28"/>
        </w:rPr>
        <w:t>увеличение количества призовых мест, занятых учащимися ДЮСШ в краевых соревнованиях</w:t>
      </w:r>
      <w:r w:rsidRPr="003E2EC9">
        <w:rPr>
          <w:sz w:val="28"/>
          <w:szCs w:val="28"/>
        </w:rPr>
        <w:t xml:space="preserve"> с 75 единиц в 2021 году до 80 единиц в 2025 году</w:t>
      </w:r>
      <w:r w:rsidRPr="003E2EC9">
        <w:rPr>
          <w:rFonts w:eastAsia="Calibri"/>
          <w:sz w:val="28"/>
          <w:szCs w:val="28"/>
        </w:rPr>
        <w:t>.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3E2EC9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3E2EC9">
        <w:rPr>
          <w:sz w:val="28"/>
          <w:szCs w:val="28"/>
        </w:rPr>
        <w:t xml:space="preserve">(далее – </w:t>
      </w:r>
      <w:r w:rsidRPr="003E2EC9">
        <w:rPr>
          <w:rFonts w:eastAsia="Calibri"/>
          <w:sz w:val="28"/>
          <w:szCs w:val="28"/>
        </w:rPr>
        <w:t>МБУ «ЦФКиС МГО»</w:t>
      </w:r>
      <w:r w:rsidRPr="003E2EC9">
        <w:rPr>
          <w:sz w:val="28"/>
          <w:szCs w:val="28"/>
        </w:rPr>
        <w:t>), подведомственном комитету по физической культуре и спорту.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lastRenderedPageBreak/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323 человек в 2021 году до 340 человек в 2025 году;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групп в МБУ «ЦФКиС МГО» с 30 единиц в 2021 году до 31</w:t>
      </w:r>
      <w:r w:rsidRPr="003E2EC9">
        <w:rPr>
          <w:sz w:val="28"/>
          <w:szCs w:val="28"/>
        </w:rPr>
        <w:t xml:space="preserve"> единицы в 2025 году</w:t>
      </w:r>
      <w:r w:rsidRPr="003E2EC9">
        <w:rPr>
          <w:rFonts w:eastAsia="Calibri"/>
          <w:sz w:val="28"/>
          <w:szCs w:val="28"/>
        </w:rPr>
        <w:t>;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увеличение количества</w:t>
      </w:r>
      <w:r w:rsidRPr="003E2EC9">
        <w:rPr>
          <w:rFonts w:eastAsia="Calibri"/>
          <w:sz w:val="28"/>
          <w:szCs w:val="28"/>
        </w:rPr>
        <w:t xml:space="preserve"> организованных и проведенных МБУ «ЦФКиС МГО» спортивно-массовых и физкультурно-оздоровительных мероприятий, согласно календарного плана учреждения с 20 единиц в 2021 году до 25</w:t>
      </w:r>
      <w:r w:rsidRPr="003E2EC9">
        <w:rPr>
          <w:sz w:val="28"/>
          <w:szCs w:val="28"/>
        </w:rPr>
        <w:t xml:space="preserve"> единиц в 2025 году.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2021 году до 180 единиц в 2025 году.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5. «</w:t>
      </w:r>
      <w:r w:rsidRPr="003E2EC9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3E2EC9">
        <w:rPr>
          <w:sz w:val="28"/>
          <w:szCs w:val="28"/>
        </w:rPr>
        <w:t xml:space="preserve">». </w:t>
      </w:r>
    </w:p>
    <w:p w:rsidR="00F71E31" w:rsidRPr="003E2EC9" w:rsidRDefault="00F71E31" w:rsidP="00F71E3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3E2EC9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3E2EC9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3E2EC9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10 процентов в 2021 году до 70 процентов в 2025 году.</w:t>
      </w: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1E31" w:rsidRPr="00190975" w:rsidRDefault="00F71E31" w:rsidP="00F71E31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71E31" w:rsidRPr="00190975" w:rsidRDefault="00F71E31" w:rsidP="00F71E31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71E31" w:rsidRPr="003E2EC9" w:rsidRDefault="00F71E31" w:rsidP="00F71E31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</w:p>
    <w:p w:rsidR="00F71E31" w:rsidRPr="003E2EC9" w:rsidRDefault="00F71E31" w:rsidP="00F71E31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1E31" w:rsidRPr="00190975" w:rsidRDefault="00F71E31" w:rsidP="00F71E31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71E31" w:rsidRPr="00190975" w:rsidRDefault="00F71E31" w:rsidP="00F71E31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F71E31" w:rsidRDefault="00F71E31" w:rsidP="00F71E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1E31" w:rsidRDefault="00F71E31" w:rsidP="00F71E31">
      <w:pPr>
        <w:widowControl w:val="0"/>
        <w:spacing w:line="240" w:lineRule="exact"/>
        <w:ind w:left="4536"/>
        <w:rPr>
          <w:sz w:val="28"/>
          <w:szCs w:val="28"/>
        </w:rPr>
        <w:sectPr w:rsidR="00F71E31" w:rsidSect="009E12B8">
          <w:headerReference w:type="first" r:id="rId5"/>
          <w:pgSz w:w="11906" w:h="16838"/>
          <w:pgMar w:top="567" w:right="567" w:bottom="709" w:left="1701" w:header="709" w:footer="709" w:gutter="0"/>
          <w:pgNumType w:start="1"/>
          <w:cols w:space="708"/>
          <w:docGrid w:linePitch="381"/>
        </w:sectPr>
      </w:pPr>
    </w:p>
    <w:p w:rsidR="00F71E31" w:rsidRPr="00190975" w:rsidRDefault="00F71E31" w:rsidP="00F71E31">
      <w:pPr>
        <w:widowControl w:val="0"/>
        <w:spacing w:line="240" w:lineRule="exact"/>
        <w:ind w:left="9781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>ПРИЛОЖЕНИЕ 3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90975">
        <w:rPr>
          <w:sz w:val="26"/>
          <w:szCs w:val="26"/>
        </w:rPr>
        <w:t>от 18.12.2019 № 2806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F71E31" w:rsidRPr="00194956" w:rsidRDefault="00F71E31" w:rsidP="00F71E31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Таблица 1</w:t>
      </w:r>
    </w:p>
    <w:p w:rsidR="00F71E31" w:rsidRPr="00194956" w:rsidRDefault="00F71E31" w:rsidP="00F71E3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71E31" w:rsidRPr="00194956" w:rsidRDefault="00F71E31" w:rsidP="00F71E3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СВЕДЕНИЯ</w:t>
      </w:r>
    </w:p>
    <w:p w:rsidR="00F71E31" w:rsidRPr="00194956" w:rsidRDefault="00F71E31" w:rsidP="00F71E3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F71E31" w:rsidRPr="00194956" w:rsidRDefault="00F71E31" w:rsidP="00F71E3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«Развитие физической культуры и спорта» и показателях решения задач и их значениях</w:t>
      </w:r>
    </w:p>
    <w:p w:rsidR="00F71E31" w:rsidRPr="00194956" w:rsidRDefault="00F71E31" w:rsidP="00F71E3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F71E31" w:rsidRPr="00194956" w:rsidRDefault="00F71E31" w:rsidP="00F71E3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71E31" w:rsidRPr="00194956" w:rsidTr="007E6E44">
        <w:trPr>
          <w:trHeight w:val="163"/>
        </w:trPr>
        <w:tc>
          <w:tcPr>
            <w:tcW w:w="540" w:type="dxa"/>
            <w:vMerge w:val="restart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№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п/п</w:t>
            </w:r>
          </w:p>
        </w:tc>
        <w:tc>
          <w:tcPr>
            <w:tcW w:w="4729" w:type="dxa"/>
            <w:vMerge w:val="restart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F71E31" w:rsidRPr="00194956" w:rsidTr="007E6E44">
        <w:trPr>
          <w:trHeight w:val="163"/>
        </w:trPr>
        <w:tc>
          <w:tcPr>
            <w:tcW w:w="540" w:type="dxa"/>
            <w:vMerge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2019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2020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2021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2022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2023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2024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2025 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год</w:t>
            </w:r>
          </w:p>
        </w:tc>
      </w:tr>
      <w:tr w:rsidR="00F71E31" w:rsidRPr="00194956" w:rsidTr="007E6E44">
        <w:trPr>
          <w:trHeight w:val="163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</w:tr>
      <w:tr w:rsidR="00F71E31" w:rsidRPr="00194956" w:rsidTr="007E6E44">
        <w:trPr>
          <w:trHeight w:val="163"/>
        </w:trPr>
        <w:tc>
          <w:tcPr>
            <w:tcW w:w="15237" w:type="dxa"/>
            <w:gridSpan w:val="12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 xml:space="preserve">Цель Программы: </w:t>
            </w:r>
            <w:r w:rsidRPr="00194956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F71E31" w:rsidRPr="00194956" w:rsidTr="007E6E44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F71E31" w:rsidRPr="00194956" w:rsidTr="007E6E44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194956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56,0</w:t>
            </w:r>
          </w:p>
        </w:tc>
      </w:tr>
      <w:tr w:rsidR="00F71E31" w:rsidRPr="00194956" w:rsidTr="007E6E44">
        <w:trPr>
          <w:trHeight w:val="291"/>
        </w:trPr>
        <w:tc>
          <w:tcPr>
            <w:tcW w:w="15237" w:type="dxa"/>
            <w:gridSpan w:val="12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F71E31" w:rsidRPr="00194956" w:rsidTr="007E6E44">
        <w:trPr>
          <w:trHeight w:val="291"/>
        </w:trPr>
        <w:tc>
          <w:tcPr>
            <w:tcW w:w="15237" w:type="dxa"/>
            <w:gridSpan w:val="12"/>
          </w:tcPr>
          <w:p w:rsidR="00F71E31" w:rsidRPr="00194956" w:rsidRDefault="00F71E31" w:rsidP="007E6E44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1: «О</w:t>
            </w:r>
            <w:r w:rsidRPr="00194956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F71E31" w:rsidRPr="00194956" w:rsidTr="007E6E44">
        <w:trPr>
          <w:trHeight w:val="561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Количество проведенных в Минераловодском городском округе </w:t>
            </w:r>
            <w:r w:rsidRPr="00194956">
              <w:rPr>
                <w:sz w:val="24"/>
                <w:szCs w:val="24"/>
              </w:rPr>
              <w:lastRenderedPageBreak/>
              <w:t>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F71E31" w:rsidRPr="00194956" w:rsidTr="007E6E44">
        <w:trPr>
          <w:trHeight w:val="907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71E31" w:rsidRPr="00194956" w:rsidTr="007E6E44">
        <w:trPr>
          <w:trHeight w:val="907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79,9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83,7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84,3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84,5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85,0</w:t>
            </w:r>
          </w:p>
        </w:tc>
      </w:tr>
      <w:tr w:rsidR="00F71E31" w:rsidRPr="00194956" w:rsidTr="007E6E44">
        <w:trPr>
          <w:trHeight w:val="563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Человек/</w:t>
            </w:r>
          </w:p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110/10</w:t>
            </w:r>
          </w:p>
        </w:tc>
      </w:tr>
      <w:tr w:rsidR="00F71E31" w:rsidRPr="00194956" w:rsidTr="007E6E44">
        <w:trPr>
          <w:trHeight w:val="422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71E31" w:rsidRPr="00194956" w:rsidTr="007E6E44">
        <w:trPr>
          <w:trHeight w:val="907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Доля населения Минераловодского городского округа, выполнившего нормативы испытаний (тестов) </w:t>
            </w:r>
            <w:r w:rsidRPr="00194956">
              <w:rPr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4956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F71E31" w:rsidRPr="00194956" w:rsidTr="007E6E44">
        <w:trPr>
          <w:trHeight w:val="728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(подтвердивших) массовые спортивные разряды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255</w:t>
            </w:r>
          </w:p>
        </w:tc>
      </w:tr>
      <w:tr w:rsidR="00F71E31" w:rsidRPr="00194956" w:rsidTr="007E6E44">
        <w:trPr>
          <w:trHeight w:val="422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получивших (подтвердивших)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</w:tr>
      <w:tr w:rsidR="00F71E31" w:rsidRPr="00194956" w:rsidTr="007E6E44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F71E31" w:rsidRPr="00194956" w:rsidTr="007E6E44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1 450</w:t>
            </w:r>
          </w:p>
        </w:tc>
      </w:tr>
      <w:tr w:rsidR="00F71E31" w:rsidRPr="00194956" w:rsidTr="007E6E44">
        <w:trPr>
          <w:trHeight w:val="558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245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250</w:t>
            </w:r>
          </w:p>
        </w:tc>
      </w:tr>
      <w:tr w:rsidR="00F71E31" w:rsidRPr="00194956" w:rsidTr="007E6E44">
        <w:trPr>
          <w:trHeight w:val="778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</w:tr>
      <w:tr w:rsidR="00F71E31" w:rsidRPr="00194956" w:rsidTr="007E6E44">
        <w:trPr>
          <w:trHeight w:val="563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315</w:t>
            </w:r>
          </w:p>
        </w:tc>
      </w:tr>
      <w:tr w:rsidR="00F71E31" w:rsidRPr="00194956" w:rsidTr="007E6E44">
        <w:trPr>
          <w:trHeight w:val="557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80</w:t>
            </w:r>
          </w:p>
        </w:tc>
      </w:tr>
      <w:tr w:rsidR="00F71E31" w:rsidRPr="00194956" w:rsidTr="007E6E44">
        <w:trPr>
          <w:trHeight w:val="280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323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340</w:t>
            </w:r>
          </w:p>
        </w:tc>
      </w:tr>
      <w:tr w:rsidR="00F71E31" w:rsidRPr="00194956" w:rsidTr="007E6E44">
        <w:trPr>
          <w:trHeight w:val="559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спортивных групп в МБУ «ЦФКиС МГО»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31</w:t>
            </w:r>
          </w:p>
        </w:tc>
      </w:tr>
      <w:tr w:rsidR="00F71E31" w:rsidRPr="00194956" w:rsidTr="007E6E44">
        <w:trPr>
          <w:trHeight w:val="553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Количество организованных и проведенных МБУ «ЦФКиС МГО» спортивно-массовых и физкультурно-оздоровительных мероприятий, согласно календарного плана учреждения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25</w:t>
            </w:r>
          </w:p>
        </w:tc>
      </w:tr>
      <w:tr w:rsidR="00F71E31" w:rsidRPr="00194956" w:rsidTr="007E6E44">
        <w:trPr>
          <w:trHeight w:val="416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70</w:t>
            </w:r>
          </w:p>
        </w:tc>
      </w:tr>
      <w:tr w:rsidR="00F71E31" w:rsidRPr="00194956" w:rsidTr="007E6E44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F71E31" w:rsidRPr="00194956" w:rsidTr="007E6E44">
        <w:trPr>
          <w:trHeight w:val="274"/>
        </w:trPr>
        <w:tc>
          <w:tcPr>
            <w:tcW w:w="540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4956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F71E31" w:rsidRPr="00194956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194956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956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194956" w:rsidRDefault="00F71E31" w:rsidP="007E6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180</w:t>
            </w:r>
          </w:p>
        </w:tc>
      </w:tr>
    </w:tbl>
    <w:p w:rsidR="00F71E31" w:rsidRPr="00194956" w:rsidRDefault="00F71E31" w:rsidP="00F71E31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F71E31" w:rsidRPr="00194956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4956">
        <w:rPr>
          <w:rFonts w:eastAsia="Calibri"/>
          <w:sz w:val="24"/>
          <w:szCs w:val="24"/>
        </w:rPr>
        <w:br w:type="page"/>
      </w:r>
      <w:r w:rsidRPr="00194956">
        <w:rPr>
          <w:sz w:val="28"/>
          <w:szCs w:val="28"/>
        </w:rPr>
        <w:lastRenderedPageBreak/>
        <w:t>Таблица 2</w:t>
      </w:r>
    </w:p>
    <w:p w:rsidR="00F71E31" w:rsidRPr="00A71F0F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F71E31" w:rsidRPr="00194956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ПЕРЕЧЕНЬ</w:t>
      </w:r>
    </w:p>
    <w:p w:rsidR="00F71E31" w:rsidRPr="00194956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F71E31" w:rsidRPr="00194956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4956">
        <w:rPr>
          <w:sz w:val="28"/>
          <w:szCs w:val="28"/>
        </w:rPr>
        <w:t>«Развитие физической культуры и спорта»</w:t>
      </w:r>
    </w:p>
    <w:p w:rsidR="00F71E31" w:rsidRPr="00194956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694"/>
        <w:gridCol w:w="2268"/>
        <w:gridCol w:w="1417"/>
        <w:gridCol w:w="1418"/>
        <w:gridCol w:w="3827"/>
      </w:tblGrid>
      <w:tr w:rsidR="00F71E31" w:rsidRPr="00194956" w:rsidTr="007E6E44">
        <w:tc>
          <w:tcPr>
            <w:tcW w:w="710" w:type="dxa"/>
            <w:vMerge w:val="restart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№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Наименование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Ответственный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исполнитель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Срок</w:t>
            </w:r>
          </w:p>
        </w:tc>
        <w:tc>
          <w:tcPr>
            <w:tcW w:w="3827" w:type="dxa"/>
            <w:vMerge w:val="restart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F71E31" w:rsidRPr="00194956" w:rsidTr="007E6E44">
        <w:trPr>
          <w:trHeight w:val="1083"/>
        </w:trPr>
        <w:tc>
          <w:tcPr>
            <w:tcW w:w="710" w:type="dxa"/>
            <w:vMerge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начала 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окончания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vMerge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71E31" w:rsidRPr="00194956" w:rsidTr="007E6E44">
        <w:trPr>
          <w:trHeight w:val="297"/>
        </w:trPr>
        <w:tc>
          <w:tcPr>
            <w:tcW w:w="15310" w:type="dxa"/>
            <w:gridSpan w:val="7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 xml:space="preserve">Цель Программы: </w:t>
            </w:r>
            <w:r w:rsidRPr="00194956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F71E31" w:rsidRPr="00194956" w:rsidTr="007E6E44">
        <w:trPr>
          <w:trHeight w:val="297"/>
        </w:trPr>
        <w:tc>
          <w:tcPr>
            <w:tcW w:w="15310" w:type="dxa"/>
            <w:gridSpan w:val="7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F71E31" w:rsidRPr="00194956" w:rsidTr="007E6E44">
        <w:trPr>
          <w:trHeight w:val="636"/>
        </w:trPr>
        <w:tc>
          <w:tcPr>
            <w:tcW w:w="15310" w:type="dxa"/>
            <w:gridSpan w:val="7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4956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F71E31" w:rsidRPr="00194956" w:rsidTr="007E6E44">
        <w:trPr>
          <w:trHeight w:val="1826"/>
        </w:trPr>
        <w:tc>
          <w:tcPr>
            <w:tcW w:w="710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1.1.</w:t>
            </w:r>
          </w:p>
        </w:tc>
        <w:tc>
          <w:tcPr>
            <w:tcW w:w="2976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F71E31" w:rsidRPr="00194956" w:rsidTr="007E6E44">
        <w:trPr>
          <w:trHeight w:val="297"/>
        </w:trPr>
        <w:tc>
          <w:tcPr>
            <w:tcW w:w="710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1.2.</w:t>
            </w:r>
          </w:p>
        </w:tc>
        <w:tc>
          <w:tcPr>
            <w:tcW w:w="2976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71E31" w:rsidRPr="00194956" w:rsidTr="007E6E44">
        <w:trPr>
          <w:trHeight w:val="297"/>
        </w:trPr>
        <w:tc>
          <w:tcPr>
            <w:tcW w:w="710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6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3 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2694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71E31" w:rsidRPr="00194956" w:rsidTr="007E6E44">
        <w:trPr>
          <w:trHeight w:val="297"/>
        </w:trPr>
        <w:tc>
          <w:tcPr>
            <w:tcW w:w="710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1.5</w:t>
            </w:r>
          </w:p>
        </w:tc>
        <w:tc>
          <w:tcPr>
            <w:tcW w:w="2976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71E31" w:rsidRPr="00194956" w:rsidTr="007E6E44">
        <w:trPr>
          <w:trHeight w:val="297"/>
        </w:trPr>
        <w:tc>
          <w:tcPr>
            <w:tcW w:w="15310" w:type="dxa"/>
            <w:gridSpan w:val="7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F71E31" w:rsidRPr="00194956" w:rsidTr="007E6E44">
        <w:trPr>
          <w:trHeight w:val="297"/>
        </w:trPr>
        <w:tc>
          <w:tcPr>
            <w:tcW w:w="710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1.4.</w:t>
            </w:r>
          </w:p>
        </w:tc>
        <w:tc>
          <w:tcPr>
            <w:tcW w:w="2976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F71E31" w:rsidRPr="00194956" w:rsidTr="007E6E44">
        <w:tc>
          <w:tcPr>
            <w:tcW w:w="15310" w:type="dxa"/>
            <w:gridSpan w:val="7"/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Подпрограмма 2 «Обеспечение реализации программы и общепрограммные мероприятия»</w:t>
            </w:r>
          </w:p>
        </w:tc>
      </w:tr>
      <w:tr w:rsidR="00F71E31" w:rsidRPr="00194956" w:rsidTr="007E6E44">
        <w:tc>
          <w:tcPr>
            <w:tcW w:w="710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>2025 год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71E31" w:rsidRPr="00194956" w:rsidRDefault="00F71E31" w:rsidP="007E6E4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4956">
              <w:rPr>
                <w:sz w:val="24"/>
                <w:szCs w:val="24"/>
              </w:rPr>
              <w:t xml:space="preserve">На основании п.35 раздела </w:t>
            </w:r>
            <w:r w:rsidRPr="00194956">
              <w:rPr>
                <w:sz w:val="24"/>
                <w:szCs w:val="24"/>
                <w:lang w:val="en-US"/>
              </w:rPr>
              <w:t>VI</w:t>
            </w:r>
            <w:r w:rsidRPr="00194956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F71E31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</w:p>
    <w:p w:rsidR="00F71E31" w:rsidRDefault="00F71E31" w:rsidP="00F71E31">
      <w:r>
        <w:br w:type="page"/>
      </w:r>
    </w:p>
    <w:p w:rsidR="00F71E31" w:rsidRPr="00190975" w:rsidRDefault="00F71E31" w:rsidP="00F71E31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Таблица 3</w:t>
      </w:r>
    </w:p>
    <w:p w:rsidR="00F71E31" w:rsidRPr="00190975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F71E31" w:rsidRPr="00190975" w:rsidRDefault="00F71E31" w:rsidP="00F71E3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ОБЪЕМЫ И ИСТОЧНИКИ </w:t>
      </w:r>
      <w:r w:rsidRPr="0019097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F71E31" w:rsidRPr="00190975" w:rsidRDefault="00F71E31" w:rsidP="00F71E3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Минераловодского городского округа </w:t>
      </w:r>
    </w:p>
    <w:p w:rsidR="00F71E31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p w:rsidR="00F71E31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F71E31" w:rsidRPr="005217EC" w:rsidTr="007E6E44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№  п/п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F71E31" w:rsidRPr="005217EC" w:rsidTr="007E6E44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2025 год</w:t>
            </w:r>
          </w:p>
        </w:tc>
      </w:tr>
      <w:tr w:rsidR="00F71E31" w:rsidRPr="005217EC" w:rsidTr="007E6E44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9</w:t>
            </w:r>
          </w:p>
        </w:tc>
      </w:tr>
      <w:tr w:rsidR="00F71E31" w:rsidRPr="005217EC" w:rsidTr="007E6E44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32 808,97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50 820,21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42 814,26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42 869,03</w:t>
            </w:r>
          </w:p>
        </w:tc>
      </w:tr>
      <w:tr w:rsidR="00F71E31" w:rsidRPr="005217EC" w:rsidTr="007E6E44">
        <w:trPr>
          <w:trHeight w:val="420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F71E31" w:rsidRDefault="00F71E31" w:rsidP="007E6E44">
            <w:pPr>
              <w:rPr>
                <w:sz w:val="24"/>
                <w:szCs w:val="24"/>
              </w:rPr>
            </w:pPr>
            <w:r w:rsidRPr="005217EC">
              <w:rPr>
                <w:sz w:val="24"/>
                <w:szCs w:val="24"/>
              </w:rPr>
              <w:t> </w:t>
            </w: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Default="00F71E31" w:rsidP="007E6E44">
            <w:pPr>
              <w:rPr>
                <w:sz w:val="24"/>
                <w:szCs w:val="24"/>
              </w:rPr>
            </w:pPr>
          </w:p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  <w:r w:rsidRPr="005217EC">
              <w:rPr>
                <w:sz w:val="21"/>
                <w:szCs w:val="21"/>
              </w:rPr>
              <w:lastRenderedPageBreak/>
              <w:t> </w:t>
            </w: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Default="00F71E31" w:rsidP="007E6E44">
            <w:pPr>
              <w:jc w:val="center"/>
              <w:rPr>
                <w:sz w:val="21"/>
                <w:szCs w:val="21"/>
              </w:rPr>
            </w:pPr>
          </w:p>
          <w:p w:rsidR="00F71E31" w:rsidRPr="005217EC" w:rsidRDefault="00F71E31" w:rsidP="007E6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5217EC">
              <w:rPr>
                <w:sz w:val="22"/>
                <w:szCs w:val="22"/>
              </w:rPr>
              <w:t>(далее – бюджет округа),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32 608,97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50 620,21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42 614,26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42 669,03</w:t>
            </w:r>
          </w:p>
        </w:tc>
      </w:tr>
      <w:tr w:rsidR="00F71E31" w:rsidRPr="005217EC" w:rsidTr="007E6E44">
        <w:trPr>
          <w:trHeight w:val="51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23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0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32 561,75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50 620,21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42 614,26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42 669,03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32 561,75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50 620,21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42 614,26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42 669,03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1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283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28 926,95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36 178,79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33 878,58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33 933,34</w:t>
            </w:r>
          </w:p>
        </w:tc>
      </w:tr>
      <w:tr w:rsidR="00F71E31" w:rsidRPr="005217EC" w:rsidTr="007E6E44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29 817,51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47 578,37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39 572,42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39 627,18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29 617,51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47 378,37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39 372,42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39 427,18</w:t>
            </w:r>
          </w:p>
        </w:tc>
      </w:tr>
      <w:tr w:rsidR="00F71E31" w:rsidRPr="005217EC" w:rsidTr="007E6E44">
        <w:trPr>
          <w:trHeight w:val="4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29 617,51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47 378,37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39 372,42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39 427,18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29 617,51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47 378,37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39 372,42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39 427,18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28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1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28 926,95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36 178,79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33 878,58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33 933,34</w:t>
            </w:r>
          </w:p>
        </w:tc>
      </w:tr>
      <w:tr w:rsidR="00F71E31" w:rsidRPr="005217EC" w:rsidTr="007E6E44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217EC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217EC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6 742,85</w:t>
            </w:r>
          </w:p>
        </w:tc>
      </w:tr>
      <w:tr w:rsidR="00F71E31" w:rsidRPr="005217EC" w:rsidTr="007E6E44">
        <w:trPr>
          <w:trHeight w:val="45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38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6 869,79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6 742,85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8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1.1.1.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</w:tr>
      <w:tr w:rsidR="00F71E31" w:rsidRPr="005217EC" w:rsidTr="007E6E44">
        <w:trPr>
          <w:trHeight w:val="58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4 900,26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82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средства участников Программы – МКУ ДО ДЮСШ, МБУ «ЦФК и С»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2 522,09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1.1.2.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</w:tr>
      <w:tr w:rsidR="00F71E31" w:rsidRPr="005217EC" w:rsidTr="007E6E44">
        <w:trPr>
          <w:trHeight w:val="45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1 588,03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3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2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1.1.3.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</w:tr>
      <w:tr w:rsidR="00F71E31" w:rsidRPr="005217EC" w:rsidTr="007E6E44">
        <w:trPr>
          <w:trHeight w:val="44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381,50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254,55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38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1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4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15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17 284,46</w:t>
            </w:r>
          </w:p>
        </w:tc>
      </w:tr>
      <w:tr w:rsidR="00F71E31" w:rsidRPr="005217EC" w:rsidTr="007E6E44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F71E31" w:rsidRPr="005217EC" w:rsidTr="007E6E44">
        <w:trPr>
          <w:trHeight w:val="55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88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7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18 919,20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17 275,72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17 284,46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1.2.1.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F71E31" w:rsidRPr="005217EC" w:rsidTr="007E6E44">
        <w:trPr>
          <w:trHeight w:val="45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9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5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9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6 506,60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4 863,12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4 871,86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1.2.2.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F71E31" w:rsidRPr="005217EC" w:rsidTr="007E6E44">
        <w:trPr>
          <w:trHeight w:val="55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64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2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12 412,60</w:t>
            </w:r>
          </w:p>
        </w:tc>
      </w:tr>
      <w:tr w:rsidR="00F71E31" w:rsidRPr="005217EC" w:rsidTr="007E6E44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12 308,88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13 512,98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13 451,25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13 497,27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13 297,27</w:t>
            </w:r>
          </w:p>
        </w:tc>
      </w:tr>
      <w:tr w:rsidR="00F71E31" w:rsidRPr="005217EC" w:rsidTr="007E6E44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13 297,27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13 312,98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13 251,25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13 297,27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1.3.1.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F71E31" w:rsidRPr="005217EC" w:rsidTr="007E6E44">
        <w:trPr>
          <w:trHeight w:val="46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200,00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8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2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12 039,89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11 978,16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12 024,18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1.3.2.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F71E31" w:rsidRPr="005217EC" w:rsidTr="007E6E44">
        <w:trPr>
          <w:trHeight w:val="44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42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1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1 273,09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6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1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6 173,78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54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42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1.4.1.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5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7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6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93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1.4.2.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3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8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595,00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1.4.3</w:t>
            </w:r>
            <w:r>
              <w:rPr>
                <w:i/>
                <w:iCs/>
                <w:sz w:val="21"/>
                <w:szCs w:val="21"/>
              </w:rPr>
              <w:t>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Расходы на строительство бассейна в п. Первомайский Минераловодского городского округа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5 578,78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2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7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1.5.1.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40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42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07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7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82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 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2 102,61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7E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 xml:space="preserve">«Обеспечение реализации программы и общепрограммные мероприятия» 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62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7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lastRenderedPageBreak/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177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217EC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  <w:r w:rsidRPr="005217EC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Default="00F71E31" w:rsidP="007E6E44">
            <w:pPr>
              <w:rPr>
                <w:b/>
                <w:b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49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</w:tr>
      <w:tr w:rsidR="00F71E31" w:rsidRPr="005217EC" w:rsidTr="007E6E44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 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433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97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236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t>2.1.1.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</w:t>
            </w:r>
            <w:r w:rsidRPr="005217EC">
              <w:rPr>
                <w:i/>
                <w:iCs/>
                <w:sz w:val="21"/>
                <w:szCs w:val="21"/>
              </w:rPr>
              <w:lastRenderedPageBreak/>
              <w:t xml:space="preserve">администрации Минераловодского городского округа </w:t>
            </w: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Default="00F71E31" w:rsidP="007E6E44">
            <w:pPr>
              <w:rPr>
                <w:i/>
                <w:iCs/>
                <w:sz w:val="21"/>
                <w:szCs w:val="21"/>
              </w:rPr>
            </w:pPr>
          </w:p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5217EC">
              <w:rPr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469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217EC">
              <w:rPr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3 241,84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b/>
                <w:bCs/>
                <w:sz w:val="22"/>
                <w:szCs w:val="22"/>
              </w:rPr>
            </w:pPr>
            <w:r w:rsidRPr="005217EC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217EC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1068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  <w:tr w:rsidR="00F71E31" w:rsidRPr="005217EC" w:rsidTr="007E6E44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F71E31" w:rsidRPr="005217EC" w:rsidRDefault="00F71E31" w:rsidP="007E6E4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F71E31" w:rsidRPr="005217EC" w:rsidRDefault="00F71E31" w:rsidP="007E6E44">
            <w:pPr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F71E31" w:rsidRPr="005217EC" w:rsidRDefault="00F71E31" w:rsidP="007E6E44">
            <w:pPr>
              <w:jc w:val="center"/>
              <w:rPr>
                <w:sz w:val="22"/>
                <w:szCs w:val="22"/>
              </w:rPr>
            </w:pPr>
            <w:r w:rsidRPr="005217EC">
              <w:rPr>
                <w:sz w:val="22"/>
                <w:szCs w:val="22"/>
              </w:rPr>
              <w:t>0,00</w:t>
            </w:r>
          </w:p>
        </w:tc>
      </w:tr>
    </w:tbl>
    <w:p w:rsidR="00F71E31" w:rsidRPr="00190975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1E31" w:rsidRPr="00190975" w:rsidRDefault="00F71E31" w:rsidP="00F71E31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F71E31" w:rsidRDefault="00F71E31" w:rsidP="00F71E31">
      <w:r>
        <w:br w:type="page"/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lastRenderedPageBreak/>
        <w:t>ПРИЛОЖЕНИЕ 4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в муниципальную программу 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от 18.12.2019 № 2806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2</w:t>
      </w:r>
    </w:p>
    <w:p w:rsidR="00F71E31" w:rsidRPr="00190975" w:rsidRDefault="00F71E31" w:rsidP="00F71E31">
      <w:pPr>
        <w:overflowPunct w:val="0"/>
        <w:autoSpaceDE w:val="0"/>
        <w:autoSpaceDN w:val="0"/>
        <w:adjustRightInd w:val="0"/>
        <w:ind w:left="9923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F71E31" w:rsidRPr="00190975" w:rsidRDefault="00F71E31" w:rsidP="00F71E31">
      <w:pPr>
        <w:widowControl w:val="0"/>
        <w:autoSpaceDE w:val="0"/>
        <w:autoSpaceDN w:val="0"/>
        <w:rPr>
          <w:sz w:val="28"/>
          <w:szCs w:val="28"/>
        </w:rPr>
      </w:pPr>
    </w:p>
    <w:p w:rsidR="00F71E31" w:rsidRPr="007E47AA" w:rsidRDefault="00F71E31" w:rsidP="00F71E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47AA">
        <w:rPr>
          <w:sz w:val="28"/>
          <w:szCs w:val="28"/>
        </w:rPr>
        <w:t>Сведения об источнике информации и методике расчета индикаторов достижения целей Программы</w:t>
      </w:r>
    </w:p>
    <w:p w:rsidR="00F71E31" w:rsidRPr="007E47AA" w:rsidRDefault="00F71E31" w:rsidP="00F71E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47AA">
        <w:rPr>
          <w:sz w:val="28"/>
          <w:szCs w:val="28"/>
        </w:rPr>
        <w:t>и показателей решения задач подпрограмм Программы</w:t>
      </w:r>
    </w:p>
    <w:p w:rsidR="00F71E31" w:rsidRPr="007E47AA" w:rsidRDefault="00F71E31" w:rsidP="00F71E31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327"/>
        <w:gridCol w:w="1701"/>
        <w:gridCol w:w="5955"/>
        <w:gridCol w:w="2268"/>
      </w:tblGrid>
      <w:tr w:rsidR="00F71E31" w:rsidRPr="007E47AA" w:rsidTr="007E6E44">
        <w:trPr>
          <w:trHeight w:val="14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F71E31" w:rsidRPr="007E47AA" w:rsidTr="007E6E44">
        <w:trPr>
          <w:trHeight w:val="19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5</w:t>
            </w:r>
          </w:p>
        </w:tc>
      </w:tr>
      <w:tr w:rsidR="00F71E31" w:rsidRPr="007E47AA" w:rsidTr="007E6E44">
        <w:trPr>
          <w:trHeight w:val="16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F71E31" w:rsidRPr="007E47AA" w:rsidTr="007E6E44">
        <w:trPr>
          <w:trHeight w:val="3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 xml:space="preserve">Индикатор достижения цели </w:t>
            </w:r>
            <w:r w:rsidRPr="007E47AA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проценты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F71E31" w:rsidRPr="007E47AA" w:rsidTr="007E6E44">
        <w:trPr>
          <w:trHeight w:val="4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1E31" w:rsidRPr="007E47AA" w:rsidTr="007E6E44">
        <w:trPr>
          <w:trHeight w:val="4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47AA">
              <w:rPr>
                <w:sz w:val="24"/>
                <w:szCs w:val="24"/>
              </w:rPr>
              <w:t>ежегодно</w:t>
            </w:r>
          </w:p>
        </w:tc>
      </w:tr>
      <w:tr w:rsidR="00F71E31" w:rsidRPr="007E47AA" w:rsidTr="007E6E44">
        <w:trPr>
          <w:trHeight w:val="14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</w:t>
            </w:r>
            <w:r w:rsidRPr="007E47AA">
              <w:rPr>
                <w:sz w:val="24"/>
                <w:szCs w:val="24"/>
                <w:lang w:eastAsia="en-US"/>
              </w:rPr>
              <w:lastRenderedPageBreak/>
              <w:t>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наблюдения в сфере физической культуры и спорта»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 (№ 1-ФК «Сведения о физической культуре и спорте»)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Человек/</w:t>
            </w:r>
          </w:p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МКУ ДО ДЮСШ            г. Минеральные Воды (далее – ДЮСШ),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г. Минеральные Воды, подведомственного 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9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согласно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20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«ЦФКиС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Количество организованных и проведенных МБУ «ЦФКиС МГО» спортивно-массовых и физкультурно-оздоровительных мероприятий, согласно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6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 xml:space="preserve">Процент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 xml:space="preserve">г. Минеральные Воды и </w:t>
            </w:r>
            <w:r w:rsidRPr="007E47AA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7E47AA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47AA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7E47AA" w:rsidRDefault="00F71E31" w:rsidP="007E6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71E31" w:rsidRPr="007E47AA" w:rsidTr="007E6E44">
        <w:trPr>
          <w:trHeight w:val="1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7E47AA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E47AA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47AA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31" w:rsidRPr="007E47AA" w:rsidRDefault="00F71E31" w:rsidP="007E6E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47AA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F71E31" w:rsidRPr="007E47AA" w:rsidRDefault="00F71E31" w:rsidP="00F71E31">
      <w:pPr>
        <w:rPr>
          <w:rFonts w:eastAsia="Calibri"/>
          <w:b/>
          <w:szCs w:val="22"/>
          <w:lang w:eastAsia="en-US"/>
        </w:rPr>
      </w:pPr>
      <w:bookmarkStart w:id="0" w:name="P42"/>
      <w:bookmarkEnd w:id="0"/>
    </w:p>
    <w:p w:rsidR="00F71E31" w:rsidRPr="00190975" w:rsidRDefault="00F71E31" w:rsidP="00F71E31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190975">
        <w:rPr>
          <w:sz w:val="28"/>
          <w:szCs w:val="28"/>
        </w:rPr>
        <w:br w:type="page"/>
      </w:r>
    </w:p>
    <w:p w:rsidR="00F71E31" w:rsidRPr="00190975" w:rsidRDefault="00F71E31" w:rsidP="00F71E31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F71E31" w:rsidRPr="002816D0" w:rsidRDefault="00F71E31" w:rsidP="00F71E31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2816D0">
        <w:rPr>
          <w:caps/>
          <w:sz w:val="28"/>
          <w:szCs w:val="28"/>
        </w:rPr>
        <w:t xml:space="preserve">Сведения </w:t>
      </w:r>
    </w:p>
    <w:p w:rsidR="00F71E31" w:rsidRPr="002816D0" w:rsidRDefault="00F71E31" w:rsidP="00F71E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816D0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F71E31" w:rsidRPr="002816D0" w:rsidRDefault="00F71E31" w:rsidP="00F71E3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568"/>
      </w:tblGrid>
      <w:tr w:rsidR="00F71E31" w:rsidRPr="002816D0" w:rsidTr="007E6E44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F71E31" w:rsidRPr="002816D0" w:rsidTr="007E6E4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16D0">
              <w:rPr>
                <w:sz w:val="28"/>
                <w:szCs w:val="28"/>
              </w:rPr>
              <w:t>5</w:t>
            </w:r>
          </w:p>
        </w:tc>
      </w:tr>
      <w:tr w:rsidR="00F71E31" w:rsidRPr="002816D0" w:rsidTr="007E6E44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16D0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1E31" w:rsidRPr="002816D0" w:rsidTr="007E6E4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1E31" w:rsidRPr="002816D0" w:rsidTr="007E6E4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16D0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71E31" w:rsidRPr="002816D0" w:rsidTr="007E6E4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1" w:rsidRPr="002816D0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6D0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</w:t>
            </w:r>
            <w:r>
              <w:rPr>
                <w:sz w:val="24"/>
                <w:szCs w:val="24"/>
              </w:rPr>
              <w:t>22</w:t>
            </w:r>
            <w:r w:rsidRPr="002816D0">
              <w:rPr>
                <w:sz w:val="24"/>
                <w:szCs w:val="24"/>
              </w:rPr>
              <w:t xml:space="preserve"> годы</w:t>
            </w:r>
          </w:p>
          <w:p w:rsidR="00F71E31" w:rsidRPr="002816D0" w:rsidRDefault="00F71E31" w:rsidP="007E6E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71E31" w:rsidRPr="002816D0" w:rsidRDefault="00F71E31" w:rsidP="00F71E3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71E31" w:rsidRDefault="00F71E31" w:rsidP="00F71E31">
      <w:pPr>
        <w:autoSpaceDE w:val="0"/>
        <w:autoSpaceDN w:val="0"/>
        <w:adjustRightInd w:val="0"/>
        <w:jc w:val="center"/>
        <w:outlineLvl w:val="2"/>
      </w:pPr>
    </w:p>
    <w:p w:rsidR="00F71E31" w:rsidRDefault="00F71E31" w:rsidP="00F71E31">
      <w:pPr>
        <w:autoSpaceDE w:val="0"/>
        <w:autoSpaceDN w:val="0"/>
        <w:adjustRightInd w:val="0"/>
        <w:jc w:val="center"/>
        <w:outlineLvl w:val="2"/>
      </w:pPr>
    </w:p>
    <w:p w:rsidR="00DB6D30" w:rsidRDefault="00F71E31">
      <w:bookmarkStart w:id="1" w:name="_GoBack"/>
      <w:bookmarkEnd w:id="1"/>
    </w:p>
    <w:sectPr w:rsidR="00DB6D30" w:rsidSect="00562ED9">
      <w:pgSz w:w="16838" w:h="11906" w:orient="landscape"/>
      <w:pgMar w:top="1418" w:right="1134" w:bottom="567" w:left="1134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2" w:rsidRDefault="00F71E3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2FF2" w:rsidRDefault="00F71E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91"/>
    <w:rsid w:val="00376DFB"/>
    <w:rsid w:val="006B2791"/>
    <w:rsid w:val="00945027"/>
    <w:rsid w:val="00A35970"/>
    <w:rsid w:val="00B529B5"/>
    <w:rsid w:val="00F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B0D9D-2A26-4009-877E-5C74559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E31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F71E31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F71E31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F71E31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F71E31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F71E31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F71E31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F71E31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F71E31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E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1E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1E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E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E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71E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71E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1E3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1E3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71E31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F71E31"/>
    <w:pPr>
      <w:jc w:val="center"/>
    </w:pPr>
    <w:rPr>
      <w:b/>
      <w:sz w:val="28"/>
      <w:szCs w:val="24"/>
    </w:rPr>
  </w:style>
  <w:style w:type="character" w:customStyle="1" w:styleId="a5">
    <w:name w:val="Заголовок Знак"/>
    <w:basedOn w:val="a0"/>
    <w:link w:val="a4"/>
    <w:rsid w:val="00F71E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71E31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F71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1E31"/>
  </w:style>
  <w:style w:type="paragraph" w:customStyle="1" w:styleId="ConsPlusNormal">
    <w:name w:val="ConsPlusNormal"/>
    <w:rsid w:val="00F71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F71E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F71E31"/>
    <w:rPr>
      <w:color w:val="0000FF"/>
      <w:u w:val="single"/>
    </w:rPr>
  </w:style>
  <w:style w:type="character" w:styleId="a9">
    <w:name w:val="Strong"/>
    <w:uiPriority w:val="22"/>
    <w:qFormat/>
    <w:rsid w:val="00F71E31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F71E31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71E31"/>
    <w:pPr>
      <w:widowControl w:val="0"/>
      <w:shd w:val="clear" w:color="auto" w:fill="FFFFFF"/>
      <w:spacing w:line="240" w:lineRule="atLeast"/>
      <w:ind w:hanging="1520"/>
    </w:pPr>
    <w:rPr>
      <w:rFonts w:asciiTheme="minorHAnsi" w:eastAsiaTheme="minorHAnsi" w:hAnsiTheme="minorHAnsi" w:cstheme="minorBidi"/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F71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71E3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F71E3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F71E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F71E3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F71E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F7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rsid w:val="00F71E31"/>
  </w:style>
  <w:style w:type="paragraph" w:styleId="HTML">
    <w:name w:val="HTML Preformatted"/>
    <w:basedOn w:val="a"/>
    <w:link w:val="HTML0"/>
    <w:semiHidden/>
    <w:rsid w:val="00F7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71E31"/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F71E31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71E3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F7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F71E31"/>
  </w:style>
  <w:style w:type="paragraph" w:styleId="af4">
    <w:name w:val="Body Text"/>
    <w:basedOn w:val="a"/>
    <w:link w:val="af5"/>
    <w:rsid w:val="00F71E31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F71E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F71E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F71E31"/>
    <w:rPr>
      <w:rFonts w:ascii="Courier New" w:hAnsi="Courier New"/>
    </w:rPr>
  </w:style>
  <w:style w:type="paragraph" w:customStyle="1" w:styleId="consplusnormal0">
    <w:name w:val="consplusnormal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F71E31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F71E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71E31"/>
  </w:style>
  <w:style w:type="character" w:customStyle="1" w:styleId="apple-converted-space">
    <w:name w:val="apple-converted-space"/>
    <w:rsid w:val="00F71E31"/>
  </w:style>
  <w:style w:type="paragraph" w:customStyle="1" w:styleId="p11">
    <w:name w:val="p11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F71E31"/>
  </w:style>
  <w:style w:type="character" w:styleId="af8">
    <w:name w:val="Emphasis"/>
    <w:qFormat/>
    <w:rsid w:val="00F71E31"/>
    <w:rPr>
      <w:i/>
      <w:iCs/>
    </w:rPr>
  </w:style>
  <w:style w:type="character" w:styleId="af9">
    <w:name w:val="FollowedHyperlink"/>
    <w:uiPriority w:val="99"/>
    <w:unhideWhenUsed/>
    <w:rsid w:val="00F71E31"/>
    <w:rPr>
      <w:color w:val="954F72"/>
      <w:u w:val="single"/>
    </w:rPr>
  </w:style>
  <w:style w:type="paragraph" w:customStyle="1" w:styleId="msonormal0">
    <w:name w:val="msonormal"/>
    <w:basedOn w:val="a"/>
    <w:rsid w:val="00F71E31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71E3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71E3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F71E3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F71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F71E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F71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F71E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F71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F71E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F71E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F71E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F71E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F71E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F71E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F71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F71E3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F71E3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F71E3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F71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F71E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F71E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F71E31"/>
  </w:style>
  <w:style w:type="numbering" w:customStyle="1" w:styleId="120">
    <w:name w:val="Нет списка12"/>
    <w:next w:val="a2"/>
    <w:semiHidden/>
    <w:rsid w:val="00F7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12682</Words>
  <Characters>72293</Characters>
  <Application>Microsoft Office Word</Application>
  <DocSecurity>0</DocSecurity>
  <Lines>602</Lines>
  <Paragraphs>169</Paragraphs>
  <ScaleCrop>false</ScaleCrop>
  <Company/>
  <LinksUpToDate>false</LinksUpToDate>
  <CharactersWithSpaces>84806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2022-12-09T07:48:00Z</dcterms:created>
  <dcterms:modified xsi:type="dcterms:W3CDTF">2022-12-09T07:49:00Z</dcterms:modified>
</cp:coreProperties>
</file>