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84" w:rsidRDefault="009F22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736584" w:rsidRDefault="009F2291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отчету об исполнении бюджета Минераловодского городского округа Ставропольского края за  2021 год</w:t>
      </w:r>
    </w:p>
    <w:p w:rsidR="00736584" w:rsidRDefault="00736584">
      <w:pPr>
        <w:spacing w:line="216" w:lineRule="auto"/>
        <w:ind w:firstLine="709"/>
        <w:jc w:val="center"/>
        <w:rPr>
          <w:sz w:val="28"/>
          <w:szCs w:val="28"/>
          <w:highlight w:val="yellow"/>
        </w:rPr>
      </w:pP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отчетным данным за 2021 год общий объем доходов бюджета Минераловодского городского округа (далее – местный бюджет) составил в 4 494 135 073,92  рубля или 98,43 % к годовым плановым назначениям, из них: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по налоговым и неналоговым доходам составило 962 756 258,86 рублей, что составляет  103,39%  к годовым плановым назначениям или 21,42 % в общем объеме доходов местного бюджета;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за отчетный период составил 3 531 378 815,06 рублей, что составляет 97,16 %  к годовым плановым назначениям или 78,58% в общем объеме доходов бюджета.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 годом объем доходов местного бюджета увеличился на 11,36% или на 458 494 674,75 рублей, при этом поступление налоговых и неналоговых доходов увеличилось на 139 130 913,57 рублей или на 16,89%.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налоговых и неналоговых доходов наибольший удельный вес (84,84%) составляют пять видов доходов: налог на доходы физических лиц, налог, взимаемый в связи с применением упрощенной системы налогообложения, налог на имущество физических лиц, земельный налог и арендная плата за земельные участки. 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местный бюджет налога на доходы физических лиц за отчетный период составило 458 349 855,16 рублей или 103,28% исполнения к плановым назначениям. По сравнению с 2020 годом поступление налога увеличилось на 43 166 636,93 рублей или на 10,40%. Увеличение поступлений обусловлено ростом налогооблагаемой базы, а также установлением норматива отчислений в местный бюджет по налогу с доходов, относящихся к части налоговой базы, превышающей 5 миллионов рублей.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назначения по налогу, взимаемому в связи с применением УСН, исполнены на 103,97%. Фактическое поступление в местный бюджет по данному виду налогов за отчетный период составило 55 798 961,54 рубль.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объем фактически поступившего в местный бюджет налога на имущество физических лиц составил 61 438 543,41 рубля или 102,5% исполнения, что на 16 909 596,02 рублей или на 37,97% больше чем за соответствующий период прошлого года. Увеличение поступлений обусловлено увеличением количества объектов налогообложения, включенных в перечень, определяемый в соответствии с пунктом 7 статьи 378.2 Налогового кодекса РФ и облагаемых по ставке 2%.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назначения по налогу на землю в 2021 году исполнены на 100,62%. Фактически в местный бюджет за отчетный период поступило земельного налога на сумму145 705 748,52 рублей, что на 14 599 863,17 рубля или на 11,13% больше чем в 2020 году. Увеличение поступлений обусловлено увеличением налоговой базы и снижением недоимки по налогу.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Фактические доходы местного бюджета от аренды земельных участков в 2021 году составили 95 545 749,32 рублей, что на 13,4% больше чем за соответствующий период прошлого года. Плановые назначения по данному виду доходов исполнены на 108,19%.  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Уточнённые плановые назначения по налоговым и неналоговым доходам местного бюджета за 2021 год исполнены по всем видам доходов.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безвозмездных поступлений в местный бюджет в 2021 году на 319 363 761,18 рубль или на 9,94% больше чем в 2020 году. 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местный бюджет дотации на выравнивание бюджетной обеспеченности за отчетный период составило 553 727 000 рублей или 12,32% от общего объема доходов.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мер, направленных на увеличение роста доходов местного бюджета, в истекшем периоде успешно реализованы плановые мероприятия </w:t>
      </w:r>
      <w:proofErr w:type="gramStart"/>
      <w:r>
        <w:rPr>
          <w:sz w:val="28"/>
          <w:szCs w:val="28"/>
        </w:rPr>
        <w:t>Программы оздоровления муниципальных финансов Минераловодского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на 2018-2021 годы, утвержденной распоряжением администрации Минераловодского городского округа от 14.11.2018 № 437-р.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мероприятиями Программы на территории Минераловодского городского округа за 2021 год: 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вовлечено в хозяйственный оборот 765 объектов недвижимого имущества, в том числе 750 земельных участков и 15 объектов недвижимости;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актуализировано 1246 сведений об объектах недвижимого имущества с целью исчисления имущественных налогов;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776 объектов недвижимости имеющих недостающие характеристики, из них: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уточнено 67 сведений о правообладателях;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уточнено 553 адреса местонахождения объекта недвижимости;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156 лицам в оформлении объекта недвижимости в собственность;</w:t>
      </w:r>
    </w:p>
    <w:p w:rsidR="00736584" w:rsidRDefault="009F22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4 заседания межведомственной комиссии, на которых рассматривались вопросы легализации заработной платы и сокращения задолженности по налоговым и неналоговым платежам;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урегулирования задолженности по местным налогам осуществлялся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своевременной уплатой имущественных налогов сотрудниками муниципальных казенных и бюджетных учреждений округа;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организована работа по информированию и урегулированию задолженности через МФЦ при обращении налогоплательщика за получением соответствующих услуг.</w:t>
      </w:r>
    </w:p>
    <w:p w:rsidR="00736584" w:rsidRDefault="009F22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эффект от вовлечения в оборот объектов недвижимости составил 8 741 900 рублей.</w:t>
      </w:r>
    </w:p>
    <w:p w:rsidR="00736584" w:rsidRDefault="009F22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Недоимка в местный бюджет по налогам и сборам снижена на 3 954 880,42 рублей, задолженность по арендным платежам снижена на 9 779 800 рублей.</w:t>
      </w:r>
    </w:p>
    <w:p w:rsidR="00736584" w:rsidRDefault="0073658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584" w:rsidRDefault="009F2291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Структура расходов местного бюджета в 2021 году состояла из программных и непрограммных направлений деятельности и позволила реализовать следующие приоритетные направления развития территории в отчетном финансовом году:</w:t>
      </w:r>
    </w:p>
    <w:p w:rsidR="00736584" w:rsidRDefault="009F2291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увеличение средней заработной платы целевых категорий работников, определенных в соответствии с Указом Президента Российской Федерации;</w:t>
      </w:r>
      <w:r>
        <w:rPr>
          <w:sz w:val="28"/>
          <w:szCs w:val="28"/>
        </w:rPr>
        <w:br/>
        <w:t xml:space="preserve">        - направление бюджетных ассигнований по приоритетам государственной политики в социальной сфере, сформулированным в Указах Президента Российской Федерации от 07 мая 2012 года;</w:t>
      </w:r>
    </w:p>
    <w:p w:rsidR="00736584" w:rsidRDefault="009F2291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выплаты заработной платы не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установленного Федеральным законодательством;</w:t>
      </w:r>
      <w:r>
        <w:rPr>
          <w:sz w:val="28"/>
          <w:szCs w:val="28"/>
        </w:rPr>
        <w:br/>
        <w:t xml:space="preserve">        - обеспечение прозрачности и открытости муниципальных финансов.</w:t>
      </w:r>
      <w:r>
        <w:rPr>
          <w:sz w:val="28"/>
          <w:szCs w:val="28"/>
        </w:rPr>
        <w:br/>
        <w:t xml:space="preserve">        В 2021 году продолжалось проведение мероприятий по реализации «Дорожной карты», направленных на повышение эффективности сферы культуры, образования.</w:t>
      </w:r>
    </w:p>
    <w:p w:rsidR="00085255" w:rsidRDefault="009F2291" w:rsidP="00085255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база местного бюджета на 2021 год при расчете дотации просчитана министерством финансов Ставропольского края с дефицитом. При этом расчет производился с учетом необходимости проведения мероприятий, направленных на повышение производительности труда в бюджетном секторе, сокращение неэффективных расходов, сокращение неэффективных муниципальных учреждений, привлечение средств от платных услуг на повышение оплаты труда, оптимизацию бюджетных расходов, в том числе с учетом мероприятий «Дорожной карты».</w:t>
      </w:r>
    </w:p>
    <w:p w:rsidR="00736584" w:rsidRDefault="009F2291" w:rsidP="00085255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местного бюджета в первоочередном порядке производилось финансирование социально-защищенных статей бюджета, а именно:</w:t>
      </w:r>
      <w:r>
        <w:rPr>
          <w:sz w:val="28"/>
          <w:szCs w:val="28"/>
        </w:rPr>
        <w:br/>
        <w:t xml:space="preserve">        - оплаты труда и начислений на выплаты по оплате труда;</w:t>
      </w:r>
    </w:p>
    <w:p w:rsidR="00736584" w:rsidRDefault="009F2291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коммунальных услуг и услуг связи;</w:t>
      </w:r>
    </w:p>
    <w:p w:rsidR="00736584" w:rsidRDefault="009F2291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налогов и сборов;</w:t>
      </w:r>
    </w:p>
    <w:p w:rsidR="00736584" w:rsidRDefault="009F2291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субсидий муниципальным бюджетным учреждениям на выполнение муниципального задания.</w:t>
      </w:r>
    </w:p>
    <w:p w:rsidR="00736584" w:rsidRDefault="009F2291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итогам 2021 года кредиторская задолженность, в том числе просроченная, по оплате труда отсутствует.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Бюджет Минераловодского городского округа имеет социальную направленность.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Исполнение расходной части бюджета округа за отчетный период составило 96,05%, от уточненных плановых назначений, предусмотренных на 2021 год.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2021 года кассовые расходы местного бюджета составили 4588216209,69 рублей с учетом остатков средств на 01.01.2021г. </w:t>
      </w:r>
      <w:r>
        <w:rPr>
          <w:color w:val="000000"/>
          <w:sz w:val="28"/>
          <w:szCs w:val="28"/>
        </w:rPr>
        <w:t>Дефицит местного бюджета по итогам исполнения составил  94 081 135,77 рублей.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покрытия дефицита бюджета являются остатки на начало года и муниципальные заимствования.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Наибольший удельный вес в структуре расходов бюджета занимают расходы, направленные на исполнение социальных направлений, которые включают в себя расходы на образование, социальную политику, культуру, физическую культуру и спорт.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общей доле произведенных расходов бюджета округа за 2021 год расходы на образование составили – 38,9%, на социальную политику -30,35%, культуру  – 3,62%, и физическая культура и спорт -0,38%.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Кассовое исполнение бюджета Минераловодского городского округа по разделам кодов бюджетной классификации расходов бюджетов выглядит следующим образом: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общегосударственные вопросы – 307 014 261,67рублей, что составляет 98,54%  от уточненных бюджетных ассигнований -311 556 000,30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национальная безопасность и правоохранительная деятельность – 22 122 073,06 рублей, что составляет 100% от уточненных бюджетных ассигнований;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национальная экономика- 634 510 969,29 рублей, что составляет 93,01% от уточненных бюджетных ассигнований – 682 226 573,59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жилищно-коммунальное хозяйство -  251 316 773,67 рублей,  или  97,66%  от бюджетных ассигнований – 257 337 624,77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охрана окружающей среды – 700 343,10 рублей, что составляет 100 % от уточненных бюджетных ассигнований;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-образование – 1 784 805 778,78 рублей, что составляет 93,56% 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предусмотренных бюджетных ассигнований (1 907 690 902,81 рублей);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-культура, кинематография – 166 189 753,18 рублей, или 97,11% от бюджетных ассигнований (171 140 293,64 рублей);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-социальная политика – 1 392 472 114,92 рублей, что составляет 99,82% от</w:t>
      </w:r>
      <w:r>
        <w:rPr>
          <w:color w:val="000000"/>
          <w:sz w:val="28"/>
          <w:szCs w:val="28"/>
        </w:rPr>
        <w:br/>
        <w:t>предусмотренных бюджетных ассигнований – 1 394 068 611,34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-физическая культура и спорт – 17 339 276,36  рублей или 100% от бюджетных ассигнований;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обслуживание муниципального долга – 11 744 865,66 рублей или 92,08% от предусмотренных бюджетных ассигнований -12 754 574,46 рублей.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 2021 год осуществлялось финансирование мероприятий,  в том числе в рамках реализации муниципальных программ (подпрограмм). Общая сумма расходов на их реализацию составила 4 494 491 610,27 рублей, в том числе в области: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деятельности органов местного самоуправления –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67 187 761,49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управления муниципальных финансов  - 85 386 830,07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обеспечения безопасности – 43 288 911,84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развития транспортной инфраструктуры – 606 813 518,12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жилищно-коммунального хозяйства- 155 407 748,92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образования – 1 713 762 996,74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культуры – 194 770 493,03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развития экономики – 198 846,91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социальной политики – 1 380 281 538,25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физической культуры и спорта – 26 765 673,14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молодежной политики – 3 255 270,45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-экология и охрана окружающей среды – 540 586,83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энергосбережения – 7 555 588,29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градостроительства- 7 582 931,45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сельского хозяйства – 8 397 553,77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управления имущества- 77 383 984,18 рублей;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формирования современной городской среды – 115 911 376,79 рублей.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Программные мероприятий были направлены, в том числе: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общегосударственных вопросов – на развитие муниципальной службы и информатизации органов местного самоуправления.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национальной экономики – на реализацию программных мероприятий в области сельского хозяйства, а также на ремонт и содержание автомобильных дорог общего пользования местного значения.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образования - на мероприятия в области пожарной безопасности, антитеррористической безопасности, развития образования.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социальной политики </w:t>
      </w:r>
      <w:r w:rsidR="0008525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 мероприятия в области социальной политики и социальной поддержки отдельных категорий граждан.</w:t>
      </w:r>
    </w:p>
    <w:p w:rsidR="00736584" w:rsidRDefault="009F22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физической куль</w:t>
      </w:r>
      <w:r w:rsidR="00085255">
        <w:rPr>
          <w:color w:val="000000"/>
          <w:sz w:val="28"/>
          <w:szCs w:val="28"/>
        </w:rPr>
        <w:t xml:space="preserve">туры и спорта  - на проведение </w:t>
      </w:r>
      <w:r>
        <w:rPr>
          <w:color w:val="000000"/>
          <w:sz w:val="28"/>
          <w:szCs w:val="28"/>
        </w:rPr>
        <w:t>спортивных и оздоровительных мероприятий.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отметить, что реализация муниципальных программ осуществлялось, в том числе и на условиях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 с краевым бюджетом.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Как и ранее, в структуре расходов местного бюджета выделен дорожный Фонд, создаваемый во исполнение требований действующего законодательства, в сумме    673 716 458,53рублей, исполнение составило 626 028 994,42рублей.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Кроме того, в 2021 году Минераловодский городской округ участвовал в реализации национальных (региональных) проектов.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Так, в 2021 году муниципальные учреждения участвовали в реализации 5 национальных (региональных) проектов. А именно: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"Образование";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"Культура";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национальный проект «Экология»;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"Демография";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"Жилье и городская среда".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Общий объем бюджетных ассигнований, предусмотренных на реализацию национальных (региональных) проектов составил 501 539 291,00 рублей,  исполнение составило 421 320 564, 43 рублей, что составляет 84,01% от плановых </w:t>
      </w:r>
      <w:r>
        <w:rPr>
          <w:color w:val="000000"/>
          <w:sz w:val="28"/>
          <w:szCs w:val="28"/>
        </w:rPr>
        <w:lastRenderedPageBreak/>
        <w:t>назначений. Из них 1 561 646,76 рублей предусмотрено дополнительно за счет средств местного бюджета.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По итогам отчетного периода в рамках реализации регионального проекта "Успех каждого ребенка" национального проекта "Образование" было направлено      1 825 431,00 рублей, кассовое исполнение составило 1 825 431,00 рублей, что составляет 100% от предусмотренных ассигнований. В рамках реализации данного национального проекта были проведены мероприятия по ремонту спортивного зала в школе № 9 с. Розовка и ремонту спортивного клуба данного учреждения.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На реализацию регионального проекта "Культурная среда" национального проекта "Культура" было предусмотрено всего бюджетных ассигнований в сумме                  34 129 270,00 рублей, кассовое исполнение составило 34 129 270,00 рублей, что составляет 100% от предусмотренных бюджетных ассигнований. В рамках реализации данного национального проекта проведены мероприятия по капитальному ремонту домов культуры Минераловодского городского округа. </w:t>
      </w:r>
      <w:r>
        <w:rPr>
          <w:color w:val="000000"/>
          <w:sz w:val="28"/>
          <w:szCs w:val="28"/>
          <w:highlight w:val="yellow"/>
        </w:rPr>
        <w:t xml:space="preserve"> 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реализацию регионального проекта «Финансовая поддержка семей при рождении детей» национального проекта "Демография" было предусмотрено всего бюджетных асс</w:t>
      </w:r>
      <w:r w:rsidR="00FA7E94">
        <w:rPr>
          <w:color w:val="000000"/>
          <w:sz w:val="28"/>
          <w:szCs w:val="28"/>
        </w:rPr>
        <w:t>игнований в сумме 215 759 164,29</w:t>
      </w:r>
      <w:r>
        <w:rPr>
          <w:color w:val="000000"/>
          <w:sz w:val="28"/>
          <w:szCs w:val="28"/>
        </w:rPr>
        <w:t xml:space="preserve"> рублей, кассовое исполнение составило 215 759 164,28 рублей или 100% от предусмотренных объемов ассигнований. В рамках реализации данного проекта осуществлялись ежемесячные денежные выплаты, назначаемые в случае рождения третьего ребенка или последующих детей до достижения ребенком возраста трех лет, ежемесячная выплата в связи с рождением (усыновлением) первого ребенка;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 реализацию регионального проекта «Содействие занятости женщин-создание условий дошкольного образования для детей в возрасте до 3 лет»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  <w:highlight w:val="yellow"/>
        </w:rPr>
        <w:t xml:space="preserve"> </w:t>
      </w:r>
      <w:r>
        <w:rPr>
          <w:color w:val="000000"/>
          <w:sz w:val="28"/>
          <w:szCs w:val="28"/>
        </w:rPr>
        <w:t xml:space="preserve">национального проекта "Демография" было предусмотрено всего бюджетных ассигнований в сумме </w:t>
      </w:r>
      <w:r w:rsidR="00FA7E94">
        <w:rPr>
          <w:color w:val="000000"/>
          <w:sz w:val="28"/>
          <w:szCs w:val="28"/>
        </w:rPr>
        <w:t>209 731 766,15</w:t>
      </w:r>
      <w:r>
        <w:rPr>
          <w:color w:val="000000"/>
          <w:sz w:val="28"/>
          <w:szCs w:val="28"/>
        </w:rPr>
        <w:t xml:space="preserve"> рублей, кассовое исполнение  - </w:t>
      </w:r>
      <w:r w:rsidR="00FA7E94">
        <w:rPr>
          <w:color w:val="000000"/>
          <w:sz w:val="28"/>
          <w:szCs w:val="28"/>
        </w:rPr>
        <w:t>129 530 960,47 рублей, что составило 61,76</w:t>
      </w:r>
      <w:r>
        <w:rPr>
          <w:color w:val="000000"/>
          <w:sz w:val="28"/>
          <w:szCs w:val="28"/>
        </w:rPr>
        <w:t>% от преду</w:t>
      </w:r>
      <w:r w:rsidR="00FA7E94">
        <w:rPr>
          <w:color w:val="000000"/>
          <w:sz w:val="28"/>
          <w:szCs w:val="28"/>
        </w:rPr>
        <w:t>смотренных объемов ассигнований, из них 1 561 646,76 рублей дополнительно выделено из местного бюджета.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рамках реализации указанного регионального проекта были проведены работы по строительству дошкольного учреждения, по адресу Минераловодский район, с. </w:t>
      </w:r>
      <w:proofErr w:type="gramStart"/>
      <w:r>
        <w:rPr>
          <w:color w:val="000000"/>
          <w:sz w:val="28"/>
          <w:szCs w:val="28"/>
        </w:rPr>
        <w:t>Гражданское</w:t>
      </w:r>
      <w:proofErr w:type="gramEnd"/>
      <w:r>
        <w:rPr>
          <w:color w:val="000000"/>
          <w:sz w:val="28"/>
          <w:szCs w:val="28"/>
        </w:rPr>
        <w:t>, ул. Школьная.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регионального проекта "Комплексная система обращения с твердыми коммунальными отходами" национального проекта "Экология" были предусмотрены бюджетные ассигнования в сумме 700 343,10 рублей, кассовое исполнение составило 700 343,10 рублей, что составляет 100% от предусмотренного объема бюджетных ассигнований. В рамках реализации указанного регионального проекта были закуплены контейнера для раздельного накопления твердых коммунальных отходов.</w:t>
      </w:r>
    </w:p>
    <w:p w:rsidR="00736584" w:rsidRDefault="009F22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реализацию регионального проекта "Формирование комфортной городской среды" национального проекта "Жилье и городская среда" были предусмотрены бюджетные ассигнования в сумме 29 175 381,96 рублей, кассовое испол</w:t>
      </w:r>
      <w:r w:rsidR="00FA7E94">
        <w:rPr>
          <w:color w:val="000000"/>
          <w:sz w:val="28"/>
          <w:szCs w:val="28"/>
        </w:rPr>
        <w:t xml:space="preserve">нение  составило 29 </w:t>
      </w:r>
      <w:r>
        <w:rPr>
          <w:color w:val="000000"/>
          <w:sz w:val="28"/>
          <w:szCs w:val="28"/>
        </w:rPr>
        <w:t xml:space="preserve">175 381,96 рублей, что </w:t>
      </w:r>
      <w:r w:rsidR="00FA7E9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составляет 100% от </w:t>
      </w:r>
      <w:r>
        <w:rPr>
          <w:color w:val="000000"/>
          <w:sz w:val="28"/>
          <w:szCs w:val="28"/>
        </w:rPr>
        <w:lastRenderedPageBreak/>
        <w:t>предусмотренного объема бюджетных ассигнований. По итогам 2021 года кредиторская задолженность, в том числе просроченная, по оплате труда отсутствует.</w:t>
      </w:r>
    </w:p>
    <w:p w:rsidR="00736584" w:rsidRDefault="009F2291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и ранее, в течение 2021 проводился мониторинг соблюдения бюджетного законодательства.</w:t>
      </w:r>
    </w:p>
    <w:p w:rsidR="00736584" w:rsidRDefault="009F2291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2021 году продолжалась работа по обеспечению соблюдения  Минераловодским городским округом установленных Правительством Ставропольского края Нормативов на содержание органов местного самоуправления. По итогам проведения мониторинга превышение Норматива не установлено.</w:t>
      </w:r>
    </w:p>
    <w:p w:rsidR="00736584" w:rsidRDefault="009F2291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2021 году проводились мероприятия в рамках реализации плана мероприятий по росту доходов и оптимизации расходов бюджета Минераловодского городского округа.</w:t>
      </w:r>
    </w:p>
    <w:p w:rsidR="00736584" w:rsidRDefault="009F2291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проводился мониторинг достижения установленных значений показателей соотношения средней заработной платы целевых категорий работников, определенных в соответствии с Указами Президента Российской Федерации, к средней заработной плате по экономике в Ставропольском крае. По итогам проведения мониторинга в Министерство труда и социальной защиты населения Ставропольского края формировался отчет о достигнутых значениях. В результате проведенной работы установленные показатели достигнуты.</w:t>
      </w:r>
    </w:p>
    <w:p w:rsidR="00736584" w:rsidRDefault="009F2291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Ежеквартально проводился мониторинг отдельных мероприятий реализации «Дорожной карты», направленных  на повышение эффективности расходов бюджетной сферы.</w:t>
      </w:r>
    </w:p>
    <w:p w:rsidR="00736584" w:rsidRDefault="009F229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Положительный экономический результат при расходовании средств, в том числе субсидий, достигался в результате применения конкурентных способов заключения контрактов в рамках исполнения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экономия в средствах от проведения конкурсных процедур в соответствии с решением Совета депутатов Минераловодского городского округа направлялась на цели, не предусмотренные в первоначальной редакции бюджета, либо частично предусмотренные.</w:t>
      </w:r>
    </w:p>
    <w:p w:rsidR="00736584" w:rsidRDefault="00736584">
      <w:pPr>
        <w:jc w:val="both"/>
        <w:rPr>
          <w:sz w:val="28"/>
          <w:szCs w:val="28"/>
        </w:rPr>
      </w:pPr>
    </w:p>
    <w:p w:rsidR="00736584" w:rsidRDefault="00736584">
      <w:pPr>
        <w:jc w:val="both"/>
        <w:rPr>
          <w:sz w:val="28"/>
          <w:szCs w:val="28"/>
        </w:rPr>
      </w:pPr>
    </w:p>
    <w:p w:rsidR="00736584" w:rsidRDefault="009F229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736584" w:rsidRDefault="009F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               </w:t>
      </w:r>
      <w:proofErr w:type="spellStart"/>
      <w:r>
        <w:rPr>
          <w:sz w:val="28"/>
          <w:szCs w:val="28"/>
        </w:rPr>
        <w:t>А.А.Рыженко</w:t>
      </w:r>
      <w:proofErr w:type="spellEnd"/>
    </w:p>
    <w:p w:rsidR="00736584" w:rsidRDefault="009F2291">
      <w:pPr>
        <w:jc w:val="both"/>
      </w:pPr>
      <w:r>
        <w:t xml:space="preserve">       </w:t>
      </w:r>
    </w:p>
    <w:sectPr w:rsidR="00736584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84"/>
    <w:rsid w:val="00085255"/>
    <w:rsid w:val="00736584"/>
    <w:rsid w:val="009F2291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jc w:val="both"/>
    </w:pPr>
    <w:rPr>
      <w:sz w:val="28"/>
      <w:lang w:val="x-none"/>
    </w:rPr>
  </w:style>
  <w:style w:type="paragraph" w:styleId="3">
    <w:name w:val="Body Text 3"/>
    <w:basedOn w:val="a"/>
    <w:link w:val="310"/>
    <w:uiPriority w:val="99"/>
    <w:unhideWhenUsed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"/>
    <w:uiPriority w:val="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1"/>
    <w:uiPriority w:val="99"/>
    <w:semiHidden/>
    <w:unhideWhenUsed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jc w:val="both"/>
    </w:pPr>
    <w:rPr>
      <w:sz w:val="28"/>
      <w:lang w:val="x-none"/>
    </w:rPr>
  </w:style>
  <w:style w:type="paragraph" w:styleId="3">
    <w:name w:val="Body Text 3"/>
    <w:basedOn w:val="a"/>
    <w:link w:val="310"/>
    <w:uiPriority w:val="99"/>
    <w:unhideWhenUsed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"/>
    <w:uiPriority w:val="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1"/>
    <w:uiPriority w:val="99"/>
    <w:semiHidden/>
    <w:unhideWhenUsed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F6B3-40D2-466B-ABAD-3F93357E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Budjetny6</cp:lastModifiedBy>
  <cp:revision>36</cp:revision>
  <cp:lastPrinted>2022-03-28T09:20:00Z</cp:lastPrinted>
  <dcterms:created xsi:type="dcterms:W3CDTF">2020-04-06T08:15:00Z</dcterms:created>
  <dcterms:modified xsi:type="dcterms:W3CDTF">2022-03-30T11:59:00Z</dcterms:modified>
</cp:coreProperties>
</file>